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3894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5"/>
        <w:gridCol w:w="1405"/>
        <w:gridCol w:w="3884"/>
        <w:gridCol w:w="2869"/>
        <w:gridCol w:w="1366"/>
        <w:gridCol w:w="1327"/>
        <w:gridCol w:w="159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</w:trPr>
        <w:tc>
          <w:tcPr>
            <w:tcW w:w="1389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hint="eastAsia" w:ascii="方正小标宋简体" w:hAnsi="宋体" w:eastAsia="方正小标宋简体" w:cs="宋体"/>
                <w:kern w:val="0"/>
                <w:szCs w:val="32"/>
              </w:rPr>
            </w:pPr>
            <w:r>
              <w:rPr>
                <w:rFonts w:hint="eastAsia" w:ascii="方正小标宋简体" w:hAnsi="宋体" w:eastAsia="方正小标宋简体" w:cs="宋体"/>
                <w:kern w:val="0"/>
                <w:szCs w:val="32"/>
              </w:rPr>
              <w:t>附  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9" w:hRule="atLeast"/>
        </w:trPr>
        <w:tc>
          <w:tcPr>
            <w:tcW w:w="1389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小标宋简体" w:hAnsi="宋体" w:eastAsia="方正小标宋简体" w:cs="宋体"/>
                <w:kern w:val="0"/>
                <w:sz w:val="36"/>
                <w:szCs w:val="36"/>
              </w:rPr>
            </w:pPr>
            <w:bookmarkStart w:id="0" w:name="_GoBack"/>
            <w:r>
              <w:rPr>
                <w:rFonts w:hint="eastAsia" w:ascii="方正小标宋简体" w:hAnsi="宋体" w:eastAsia="方正小标宋简体" w:cs="宋体"/>
                <w:kern w:val="0"/>
                <w:sz w:val="36"/>
                <w:szCs w:val="36"/>
              </w:rPr>
              <w:t>抚顺市促进全方位生态环境保护治理实施方案任务分工表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67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主要任务及目标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完成时限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牵头单位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责任单位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配合单位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6" w:hRule="atLeast"/>
        </w:trPr>
        <w:tc>
          <w:tcPr>
            <w:tcW w:w="1445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    一、着力打好碧水保卫战，确保水污染防治取得新成效。</w:t>
            </w:r>
          </w:p>
        </w:tc>
        <w:tc>
          <w:tcPr>
            <w:tcW w:w="140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实施流域重点河流污染综合整治。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1、全面落实《抚顺市水污染防治工作方案》，编制章党河、东洲河、海新河、欧家河水质限期达标方案并组织实施，目标：消除劣五类水体。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2019年12月31日</w:t>
            </w:r>
          </w:p>
        </w:tc>
        <w:tc>
          <w:tcPr>
            <w:tcW w:w="136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市水务局、市生态环境局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</w:t>
            </w:r>
          </w:p>
        </w:tc>
        <w:tc>
          <w:tcPr>
            <w:tcW w:w="1598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市发改委、市住建局、财政局、农业农村局、工信局、县区政府、开发区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6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2、落实河长制管理机制，积极协调指导督查各级河长履职尽责，发挥作用。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长期坚持</w:t>
            </w:r>
          </w:p>
        </w:tc>
        <w:tc>
          <w:tcPr>
            <w:tcW w:w="13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市县区各级河长</w:t>
            </w:r>
          </w:p>
        </w:tc>
        <w:tc>
          <w:tcPr>
            <w:tcW w:w="159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3、深入开展截污纳管、河道清淤、生态修复、湿地建设等污染防治工程。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长期坚持</w:t>
            </w:r>
          </w:p>
        </w:tc>
        <w:tc>
          <w:tcPr>
            <w:tcW w:w="13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市住建局</w:t>
            </w:r>
          </w:p>
        </w:tc>
        <w:tc>
          <w:tcPr>
            <w:tcW w:w="159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6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4、加快实施支流河上游村屯生活污水、生活垃圾、畜禽养殖污染集中整治工程。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2019年12月31日</w:t>
            </w:r>
          </w:p>
        </w:tc>
        <w:tc>
          <w:tcPr>
            <w:tcW w:w="136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市住建局、农业农村局、县区政府、开发区</w:t>
            </w:r>
          </w:p>
        </w:tc>
        <w:tc>
          <w:tcPr>
            <w:tcW w:w="159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4" w:hRule="atLeast"/>
        </w:trPr>
        <w:tc>
          <w:tcPr>
            <w:tcW w:w="14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巩固黑臭水体治理成果。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5、深入推进并完成22条支流河黑臭水体实施截污、河道清淤、污染源治理、取缔排污口、河岸生态修复工程。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2019年完成所有整治工程建设并通过国家验收。2020年水质达标。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市住建局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市生态局、市水务局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14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   一、着力打好碧水保卫战，确保水污染防治取得新成效。</w:t>
            </w:r>
          </w:p>
        </w:tc>
        <w:tc>
          <w:tcPr>
            <w:tcW w:w="140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加强工业水污染防治。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6、坚决取缔涉水的“十小”类企业和项目，推进石化、造纸等重点行业技术改造。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2019年12月31日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市发改委、市工信局、市住建局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1445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7、2020年完成工业聚集区水污染治理，同步建设污水集中处理设施，实现自动在线监测监控装置与生态环境部门联网。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2020年12月31日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市发改委、市工信局、市住建局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强化城镇生活污水治理。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8、推进污水处理厂提标改造工程建设。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2019年完成东泽、海新污水处理厂改造任务。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市住建局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9、全面加强城市污水管网建设，强化城中村、老旧城区和城乡结合部污水截流、收集、纳管等工作。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2020年底前彻底根治污水排入河现象。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市住建局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市住建局、各县区政府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10、启动三宝屯污水处理厂扩建工程。对其他污水处理厂加强监管。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2019年完成方案编制和论证。</w:t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t>2020年开工。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市住建局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6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推进污泥处理设施建设。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11、建立健全污泥产生、储存、运输、处置全过程监控体系，完成现有污泥处理设施提标改造，以满足全市污水处理厂泥稳定化、无害化和资源化处置的需要。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2019年完成方案编制和论证。</w:t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t>2020年实施工程建设。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市住建局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市住建局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市发改委、市生态环境局、市财政局、市工信局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7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加强入河排放口综合整治。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12、开展全市入河排放口排查行动，建立入河排放口管理台账；开展排放口筛查溯源工作，坚决封堵、取缔非法入河排污口。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2019年建立管理台账。</w:t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t>2020年完成全部整治。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市住建局、水务局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实施水源地综合整治。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13、继续巩固大伙房水源地一级保护区退耕和围栏封闭保护和治理成果，防止退耕反弹。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长期坚持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清原县、新宾县、抚顺县、东洲区政府</w:t>
            </w:r>
          </w:p>
        </w:tc>
        <w:tc>
          <w:tcPr>
            <w:tcW w:w="1598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市水务局、自然资源局、卫健委、交通运输局、住建局、公安局、农业农村局等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14、推进供水人口在10000人或日供水1000吨以上的农村饮用水水源保护区划定工作。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2019年12月31日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598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7" w:hRule="atLeast"/>
        </w:trPr>
        <w:tc>
          <w:tcPr>
            <w:tcW w:w="14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15、开展集中式饮用水水源年度风险评估工作，定期对集中式饮用水水源地周边环境安全隐患进行排查，制定保护区及其影响范围内的风险源名录和风险防控方案，提高饮用水水源地风险防范和应急处置能力。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2019年制定风险源名录和风险防控方案。</w:t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t>2020年基本完成国家和省政府下达的水源地综合整治任务。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59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7" w:hRule="atLeast"/>
        </w:trPr>
        <w:tc>
          <w:tcPr>
            <w:tcW w:w="14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    二、坚决打赢蓝天保卫战，确保空气环境改善取得新突破。</w:t>
            </w:r>
          </w:p>
        </w:tc>
        <w:tc>
          <w:tcPr>
            <w:tcW w:w="14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严格实施燃煤总量控制。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16、落实《辽宁省控制煤炭消费总量工作方案（2018—2020年）》，做好全市煤炭消费总量控制工作，制定2019年全市燃煤总量控制目标方案。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2019年全市燃煤总量控制在1108万吨以内。</w:t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t>2020年煤炭占全市能源消费总量比重下降到58.6%以下。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市发改委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市发改委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市生态环境局、市工信局、市住建局、市农业农村局、各县区政府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6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加强对煤炭质量使用和销售的监管。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17、全市范围内限制使用灰分高于16％，硫分高于0.6％的煤炭。加强对煤炭销售、使用单位煤炭的检测频次，全市用煤单位煤质抽检覆盖率达到100％，抽检商品煤50组以上。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2019年禁燃区内散煤销售网点基本取缔。</w:t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t>2020年禁燃区内散煤销售网点全部取缔。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市场监督管理局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6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强化散煤污染控制。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18、集中整治城中村、城区露天市场燃用小煤炉，有效措施遏制散煤污染行为。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长期坚持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市场监督管理局、市生态环境局、市住建局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1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禁燃区内依法查处违法行为。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19、持续加大对燃烧散煤、劈柴取暖“小凉快”等各类违法行为的打击力度。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长期坚持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市公安局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9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实施燃煤锅炉治理。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20、全面开展城市建成区20吨及以下燃煤锅炉淘汰工作，将在用20吨以上燃煤锅炉纳入重点排污单位名录，严厉打击超标排放等违法行为。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2020年全面完成淘汰任务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市工信局、市住建局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4" w:hRule="atLeast"/>
        </w:trPr>
        <w:tc>
          <w:tcPr>
            <w:tcW w:w="14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推进重点行业污染治理升级改造。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21、全市新、改、扩建项目执行特别排放限值，现有工业、企业对标特别排放限值，实施污染治理设施升级改造；强化工业企业无组织排放管控，对抚顺石化公司、抚矿集团所属重点企业实施减排，严厉打击超标排放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2019年推动实施4家燃煤发电机组超低排放改造，启动实施3家钢铁企业超低排放改造，对2家页岩油厂安装在线监控设施解决异味排放扰民问题。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各县区政府、开发区、抚顺石化公司、抚矿集团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市工信局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14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   二、坚决打赢蓝天保卫战，确保空气环境改善取得新突破。</w:t>
            </w:r>
          </w:p>
        </w:tc>
        <w:tc>
          <w:tcPr>
            <w:tcW w:w="14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整治镁产业区域污染。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22、开展镁产业镁砂行业环境专项执法行动。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2019年推动4家镁质耐火材料企业开展清洁生产和环保设施提标改造。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顺城、东洲区政府，新宾县政府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6" w:hRule="atLeast"/>
        </w:trPr>
        <w:tc>
          <w:tcPr>
            <w:tcW w:w="1445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开展“散乱污”企业整治。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23、开展“散乱污”企业及集群综合整治专项行动，实行拉网式排查和清单制、台账式、网格式管理。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2019年完成“散乱污”企业摸底排查，制定整治方案，全面启动治理工作。</w:t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t>2020年完成整治任务。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市生态环境局市工信局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市公安局、市场监督管理局、市发改委、市自然资源局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2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严控工业VOCs排放。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24、严格执行《辽宁省“十三五”挥发性有机物污染防治与削减工作实施方案》。推动建立挥发性有机物监测监控体系，将挥发性有机物排放重点源纳入重点排污单位名录，在重点行业的试点企业和工业园区安装挥发性有机物自动监测设备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2019年，全面启动包装印刷和工业涂装行业挥发性有机物综合治理。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矿业集团、石化公司、县区政府、开发区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3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强化餐饮业油烟污染排放治理。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25、重点整治餐饮企业油烟污染和扰民问题，划定禁止露天烧烤区域，在禁止区域外的露天烧烤采取油烟净化措施并保持正常运行，将油烟通过专用烟道达标排放，禁止在高污染燃料禁燃区内燃烧散煤、焦炭和劈柴等，防止对附近居民生活环境造成污染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2019年在顺城区开展餐饮企业油烟治理试点工作。</w:t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t>2020年城市建成区内基本实现餐饮企业和经营商户油烟治理全覆盖。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市住建局、市生态环境局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0" w:hRule="atLeast"/>
        </w:trPr>
        <w:tc>
          <w:tcPr>
            <w:tcW w:w="1445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强化汽修行业污染排放治理。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26、监督检查汽修行业严格按照喷漆操作规程实施封闭作业，加大喷烤漆房废气治理设施建设，对汽车维修行业和喷漆房等违法排污情况进行排查，规范汽修涂装喷烤漆房作业，禁止无组织排放。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长期坚持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市交通运输局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市场监督管理局、市住建局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9" w:hRule="atLeast"/>
        </w:trPr>
        <w:tc>
          <w:tcPr>
            <w:tcW w:w="1445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二、坚决打赢蓝天保卫战，确保空气环境改善取得新突破。</w:t>
            </w: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严格施工扬尘监管。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27、建筑工地要做到周边有围挡、物料堆放覆盖、工地湿法作业、路面硬化、出入车辆清洗、渣土车辆密闭运输“六个百分百”。严格执行《施工及堆料场地扬尘排放标准》，城市建筑工地安装视频监控。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长期坚持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市住建局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8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加强堆场和道路扬尘综合整治。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28、严厉打击物料运输车辆泄漏、遗撒，建筑垃圾运输车辆要安装全密闭运输机械装置或密闭苫盖装置，并安装行驶及装卸记录仪。大力推进道路清扫保洁机械化作业，实施道路网格化保洁管理，更新购置新型环保清扫设备，加强城市主次干道和城乡结合部道路清扫保洁工作，摸清城区露天堆、料场底数，建立台账，制定治理方案，采取防风抑尘措施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2019年建成区可机扫道路低尘机械化清扫率达85％，县城道路机械化清扫率不低于60％。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市住建局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6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加强工业料场堆场管理。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29、督促工业企业严格执行环评及排污许可要求，对厂区内各种易产生扬尘的物料存放、运送、装卸等流程实施管控。加大重点企业环境监管力度，加强抚矿集团舍场环境管理，禁止违法作业，增加厂区绿化，防治扬尘污染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长期坚持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各县区政府、开发区、抚矿集团等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6" w:hRule="atLeast"/>
        </w:trPr>
        <w:tc>
          <w:tcPr>
            <w:tcW w:w="14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实施城市裸露土地绿化和硬化。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30、加强对城市公共区域、临时闲置土地、城区道路两侧和城区河道两侧的裸露土地硬化和绿化。制定年度实施计划，定期调度裸露地面绿化和硬化工作。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2019年，完成城区裸露土地绿化硬化15公顷。</w:t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t>2020年基本实现建成区裸露土地全覆盖。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市住建局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市水务局、县区政府、开发区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1" w:hRule="atLeast"/>
        </w:trPr>
        <w:tc>
          <w:tcPr>
            <w:tcW w:w="14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二、坚决打赢蓝天保卫战，确保空气环境改善取得新突破。</w:t>
            </w:r>
          </w:p>
        </w:tc>
        <w:tc>
          <w:tcPr>
            <w:tcW w:w="1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推进露天矿山综合整治。</w:t>
            </w:r>
          </w:p>
        </w:tc>
        <w:tc>
          <w:tcPr>
            <w:tcW w:w="3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31、对污染治理不规范的露天矿山，依法责令停产整治，整治完成并经相关部门组织验收合格后方可恢复生产，对拒不停产或擅自恢复生产的依法强制关闭；对责任主体灭失的露天矿山，要加强生态修复绿化、减尘抑尘；重点区域禁止新建露天矿山建设项目；加大矸石山治理力度。</w:t>
            </w:r>
          </w:p>
        </w:tc>
        <w:tc>
          <w:tcPr>
            <w:tcW w:w="2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2019年全年</w:t>
            </w:r>
          </w:p>
        </w:tc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市自然资源局 </w:t>
            </w:r>
          </w:p>
        </w:tc>
        <w:tc>
          <w:tcPr>
            <w:tcW w:w="13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抚矿集团、各县区政府</w:t>
            </w:r>
          </w:p>
        </w:tc>
        <w:tc>
          <w:tcPr>
            <w:tcW w:w="15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9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加强机动车污染防治。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32、开展柴油货车超标排放联合执法，完善环保部门检测、公安交管部门处罚、交通运输部门监督维修的联合监管机制。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2019年开展高排放车辆区域禁行、限行工作，划定禁行和限行区域、时段和车型，完善禁行、限行区域监管。</w:t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t>2020年城市建成区基本消除“冒黑烟车”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市交通运输局、市生态环境局、市公安局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6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加强成品油质管理。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33、严格成品油市场准入，开展成品油生产、销售监督检查。加油站不得销售和供应不符合国五标准的车用汽、柴油和普通柴油。开展成品油经营企业年度检查工作。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2019年抽检成品油50组以上。</w:t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t>2020年抽检成品油70组以上。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市商务局、市场监督管理局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1" w:hRule="atLeast"/>
        </w:trPr>
        <w:tc>
          <w:tcPr>
            <w:tcW w:w="14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完善城市交通服务体系。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34、逐步提高清洁能源或新能源车辆比例。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2019年，中心城区公共交通占机动化出行比例达到55%，城市公交车、出租车应用清洁能源或新能源汽车比例力争达到85%、95%。</w:t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t>2020年，城市中心城区公共交通机动化出行比例达到60%，城市公交车、出租车力争全部更新（改造）为清洁能源或新能源汽车。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市交通运输局、市发改委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6" w:hRule="atLeast"/>
        </w:trPr>
        <w:tc>
          <w:tcPr>
            <w:tcW w:w="14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二、坚决打赢蓝天保卫战，确保空气环境改善取得新突破。</w:t>
            </w:r>
          </w:p>
        </w:tc>
        <w:tc>
          <w:tcPr>
            <w:tcW w:w="14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深入推进农作物秸秆综合利用。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35、推进秸秆肥料化、饲料化、燃料化、基料化、原料化利用和收贮运服务体系建设，进一步提高秸秆综合利用水平，秸秆综合利用率达到86%以上，且保证利用率逐年提高。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长期推进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市农业农村局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市发改委、市科技局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7" w:hRule="atLeast"/>
        </w:trPr>
        <w:tc>
          <w:tcPr>
            <w:tcW w:w="14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严禁农作物秸秆焚烧行为。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36、强化县（区）、乡镇（街道）、村（社区）三级秸秆禁烧网格主体责任，建立以乡（镇）为单位、村为基础、村民组为单元的网格化管理责任体系，将禁烧责任落实到人头、地块。市与县（区）、县（区）与乡镇、乡镇与村逐级签订秸秆禁烧责任书，加强巡查值守和宣传工作，力争实现生态环境部通报零火点目标。对监管不力的地区和责任人严肃问责，确保秸秆禁烧综合管控责任落实到位，减少对空气质量影响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长期坚持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市财政局、市农业农村局、市自然资源局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1" w:hRule="atLeast"/>
        </w:trPr>
        <w:tc>
          <w:tcPr>
            <w:tcW w:w="1445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严控“两高”行业产能。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37、严控新上“两高”行业项目，严禁新增钢铁、电解铝、水泥和平板玻璃等产能；新、改、扩建涉及大宗物料运输的建设项目，原则上不得采用公路运输；加大落后产能淘汰力度，严格执行质量、环保、能耗、安全等法规标准；严防“地条钢”死灰复燃，严格执行钢铁、水泥、平板玻璃等行业产能置换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长期坚持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市发改委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市工信局、市生态环境局、市场监督管理局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0" w:hRule="atLeast"/>
        </w:trPr>
        <w:tc>
          <w:tcPr>
            <w:tcW w:w="14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实现区域一体化高效供热，推进清洁取暖。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38、推动集中供热覆盖范围内的燃煤锅炉淘汰和高效节能锅炉推广工作。严格执行《北方地区冬季清洁取暖规划（2017-2021）》，稳步实施清洁燃煤供暖，有序推进天然气供暖，积极推广电采暖，提高清洁取暖比重；探索推进生物质能源供暖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2019年全市清洁取暖比重提高到78%,2020年提高到79%。充分利用抚顺油母页岩炼油厂余热供暖，2019年实现供暖面积220万平，在全市推广12台清洁能源（天然气/电）锅炉。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市住建局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市发改委、市工信局、市农业农村局、市生态环境局、抚顺市供电公司、县区政府、开发区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9" w:hRule="atLeast"/>
        </w:trPr>
        <w:tc>
          <w:tcPr>
            <w:tcW w:w="14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    三、深入推进净土保卫战，确保土壤环境污染防治取得新成效</w:t>
            </w:r>
          </w:p>
        </w:tc>
        <w:tc>
          <w:tcPr>
            <w:tcW w:w="14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开展土壤污染基础性调查。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39、以农用地和重点行业企业用地为重点，开展全市土壤污染状况详查。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到2020年，掌握重点行业企业用地中的污染地块分布及其环境风险情况。加强土壤环境信息化管理，力争到2020年，建成土壤环境基础数据库和土壤环境信息化管理平台。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市生态环境局、市农业农村局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市发展改革委、市自然资源局、市工业和信息化局等部门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0" w:hRule="atLeast"/>
        </w:trPr>
        <w:tc>
          <w:tcPr>
            <w:tcW w:w="1445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大力推进耕地安全利用。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40、根据土壤污染状况和农产品超标情况，安全利用类耕地集中的县区要结合当地主要作物品种和种植习惯，制定实施受污染耕地安全利用方案，采取农艺调控、替代种植等措施，降低农产品超标风险。根据耕地土壤污染状况详查结果和国家出台的《耕地土壤环境质量类别划分技术指南》，开展国家要求的轻度和中度污染耕地安全利用工作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长期坚持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市自然资源局、市农业农村局、市工业和信息化局、市住房城乡建设局、市财政局等部门，各县区政府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2" w:hRule="atLeast"/>
        </w:trPr>
        <w:tc>
          <w:tcPr>
            <w:tcW w:w="14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严防矿产资源开发污染土壤。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41、以西露天矿及周边土壤环境监测分析为重点，开展煤炭开采造成的环境影响评价，推动西露天矿治理开发与综合利用。对市内矿产资源开发活动集中区域，按规定适时执行重点污染物特别排放限值。全面整治历史遗留尾矿库，完善覆膜、压土、排洪、堤坝加固等隐患治理和闭库措施。对重点监管的尾矿库企业要依法开展环境风险评估，完善污染治理设施，储备应急物资。加强对矿产资源开发利用活动的辐射安全监管，相关企业按规定每年对本矿区土壤进行辐射环境监测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长期坚持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市生态环境局、市应急局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各县区政府、抚矿集团等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市发展改革委、市工业和信息化局、市农业农村局等部门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7" w:hRule="atLeast"/>
        </w:trPr>
        <w:tc>
          <w:tcPr>
            <w:tcW w:w="14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    三、深入推进净土保卫战，确保土壤环境污染防治取得新成效</w:t>
            </w:r>
          </w:p>
        </w:tc>
        <w:tc>
          <w:tcPr>
            <w:tcW w:w="14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开展土壤污染治理与修复。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42、开展农用地和建设用地土壤污染治理与修复试点，逐步建立土壤治理与修复技术体系。采用有效、可持续的工艺和技术，边示范边推广，有计划、分步骤地推进土壤污染治理与修复，尽量减少废水、废气、固废的产生和排放；对产生的污染物进行安全处置，防止对周边水体和大气造成污染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长期坚持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县区政府、开发区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5" w:hRule="atLeast"/>
        </w:trPr>
        <w:tc>
          <w:tcPr>
            <w:tcW w:w="14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有效防范危险废物环境风险。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43、加快推动再生资源产业园区建设。提高危险废物处置利用企业准入标准，推动产业升级，逐步淘汰规模小、工艺水平低的企业。建立废铅蓄电池和废机油等社会源危险废物回收体系。加强危险废物环境监管和规范化管理，到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到2020年，基本实现主要危险废物就近集中处理。</w:t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t>2020年，实现对全市重点产废企业的全覆盖。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县区政府、开发区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市发改委、交通运输局、工信局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0" w:hRule="atLeast"/>
        </w:trPr>
        <w:tc>
          <w:tcPr>
            <w:tcW w:w="1445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    四、推进农业农村环境综合治理，确保农村人居环境改善取得新成效</w:t>
            </w: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持续推进农业投入品减量使用。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44、推广有机肥替代化肥技术，推广和应用高效、低毒、低残留新型农药，控制农业灌溉用水量，减少化肥、农药和农业用水总量。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到2020年，主要农作物化肥使用量实现负增长、主要农作物农药使用量减少1%，农田灌溉水有效利用系数达到0.592；拓展测土配方施肥，到2020年，测土配方施肥技术覆盖率达到90%以上。推广使用标准地膜。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市农业农村局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市财政局、市水务局、市生态环境局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0" w:hRule="atLeast"/>
        </w:trPr>
        <w:tc>
          <w:tcPr>
            <w:tcW w:w="14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加强农业废弃物资源化利用。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45、坚持“农用为主、多元利用”原则，稳步推进秸秆粉碎还田利用，加大基料化、饲料化、能源化、原料化和肥料化等秸秆产业化利用。加大棚膜回收利用力度,防止农膜污染。建立农药包装废弃物等回收和集中处理体系，落实使用者妥善收集、生产者和经营者回收处理责任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2019年和2020年，秸秆综合利用率分别达到86%和87%；到2020年，力争实现废弃农膜全部回收利用。</w:t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t>2020年，不少于30%的农药包装废弃物实现回收处理。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市农业农村局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市财政局、市生态环境局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3" w:hRule="atLeast"/>
        </w:trPr>
        <w:tc>
          <w:tcPr>
            <w:tcW w:w="14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   四、推进农业农村环境综合治理，确保农村人居环境改善取得新成效</w:t>
            </w:r>
          </w:p>
        </w:tc>
        <w:tc>
          <w:tcPr>
            <w:tcW w:w="1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加强畜禽粪污资源化利用。</w:t>
            </w:r>
          </w:p>
        </w:tc>
        <w:tc>
          <w:tcPr>
            <w:tcW w:w="38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46、加强畜禽养殖废弃物资源化利用，积极推进和完善畜禽养殖场粪污处理设施建设,加大畜禽养殖场粪污资源化利用装备的农机购置补贴力度,实现农机补贴向养殖场粪污治理全覆盖,提高畜禽粪污处理设施装备配套率和畜禽粪污综合利用率。完善病死畜禽无害化处理机制，推进病死动物无害化收集处理体系建设，提升集中处理比例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全市畜禽粪污综合利用率、畜禽养殖场粪污处理设施装备配套率分别达到74%和86%，到2020年分别达到75%和95%。到2020年，基本解决规模化养殖场粪污处理和资源化利用问题，畜禽养殖废弃物资源化利用成为畜禽养殖环节中常态化的生产方式。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市农业农村局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市财政局、市生态环境局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6" w:hRule="atLeast"/>
        </w:trPr>
        <w:tc>
          <w:tcPr>
            <w:tcW w:w="14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推进农村生活垃圾收集处理。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47、大力推广新宾县农村生活垃圾分类和资源化利用经验。加快清理农村非正规垃圾堆放点,全面排查、整治农村危险废物和一般工业固体废物非法转移、倾倒、堆存等现象。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2019年农村生活垃圾分类处置体系基本实现乡镇全覆盖。</w:t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t>2020年，基本完成非正规垃圾堆放点排查整治。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市住房城乡建设局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市农业农村局、市生态环境局、市财政局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6" w:hRule="atLeast"/>
        </w:trPr>
        <w:tc>
          <w:tcPr>
            <w:tcW w:w="14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推进农村生活污水收集处理。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48、2019年，新建农村生活污水收集处理系统11套、2636户纳入污水收集系统；2020年，10%的行政村实现农村生活污水收集处理。%的行政村实现农村生活污水收集处理。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按计划推进。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市生态环境局、市农业农村局、市卫健委、市水务局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市发改委、市住建局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4" w:hRule="atLeast"/>
        </w:trPr>
        <w:tc>
          <w:tcPr>
            <w:tcW w:w="14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    五、加大生态系统保护和修复力度，确保生态保护和建设取得新成效</w:t>
            </w:r>
          </w:p>
        </w:tc>
        <w:tc>
          <w:tcPr>
            <w:tcW w:w="14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划定并严守生态保护红线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49、建立生态保护红线制度，依据生态功能区定位。制定实施生态保护红线管控办法，定期发布生态保护红线管控信息，用制度守住生态保护红线。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  2019年推进“三线一单”编制工作，2020年全面完成生态保护红线划定和勘界立标等工作，设立统一规范的标识标牌；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市发改委、财政局、自然资源局、水务局、农业农村局、住建局、各县区政府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9" w:hRule="atLeast"/>
        </w:trPr>
        <w:tc>
          <w:tcPr>
            <w:tcW w:w="14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实施生态保护修复重大工程。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50、开展病危险尾矿库和“头顶库”专项整治；实施“青山工程”，推进闭坑矿治理、退坡地还林还草工程、封山禁牧（工程封育）、公路建设破损山体生态治理等生态修复工作，开展沙化土地封禁保护试点建设，综合治理水土流失，加强矿山生态修复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长期坚持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市自然资源局 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市应急管理局、财政局、生态环境局、农业农村局、水务局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3" w:hRule="atLeast"/>
        </w:trPr>
        <w:tc>
          <w:tcPr>
            <w:tcW w:w="14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    五、加大生态系统保护和修复力度，确保生态保护和建设取得新成效</w:t>
            </w:r>
          </w:p>
        </w:tc>
        <w:tc>
          <w:tcPr>
            <w:tcW w:w="1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统筹推进山水林田湖草治理。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51、开展环城林带建设和保护项目，宜林荒山造林，抚矿舍场绿化建设环城林带；制定、出台湿地保护地方法规，建立健全湿地保护机制；改建和扩建湿地公园；积极争取国家“山水林田湖草生态保护修复”治理试点项目，做好试点中包装项目的申报工作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2019年配合相关部门积极争取国家“山水林田湖草生态保护修复”治理试点项目，做好试点中包装项目的申报工作。2020年继续配合相关部门做好项目申报工作。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市自然资源局 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市生态环境局、水务局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0" w:hRule="atLeast"/>
        </w:trPr>
        <w:tc>
          <w:tcPr>
            <w:tcW w:w="14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加强自然保护区建设和监管。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52、以国家级、省级自然保护区为重点，开展自然保护区确界工作，推进国家级、省级自然保护区标准化建设和国家公园试点建设；认真落实国家开展自然保护区“绿盾”监督检查专项行动部署，持续开展自然保护区监督检查，利用遥感手段开展自然保护区监测和实地核查，推动土地确权和用途管制，严肃查处自然保护区违法违规活动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2019年底前完成“绿盾”自然保护区遥感监测整改销号任务。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相关县区政府、开发区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市自然资源局、住建局、水务局、市文旅局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atLeast"/>
        </w:trPr>
        <w:tc>
          <w:tcPr>
            <w:tcW w:w="14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    六、坚决完成中央环保督察整改任务，确保突出生态环境问题整改取得新成效</w:t>
            </w: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加快推进大伙房水源保护区有关问题整改。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53、依法关闭保护区内212家工业企业，制定实施大伙房水源保护区风险防范方案，出台水源保护区区域发展规划。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2019年6月底前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  <w:r>
              <w:rPr>
                <w:rFonts w:hint="eastAsia" w:ascii="仿宋" w:hAnsi="宋体" w:eastAsia="仿宋" w:cs="宋体"/>
                <w:kern w:val="0"/>
                <w:sz w:val="24"/>
                <w:szCs w:val="24"/>
              </w:rPr>
              <w:t> 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抚顺县、清原县、新宾县、东洲区党委政府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9" w:hRule="atLeast"/>
        </w:trPr>
        <w:tc>
          <w:tcPr>
            <w:tcW w:w="14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推进东洲河水质恶化问题整改。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54、全面完成东泽、海新污水处理厂提标改造任务和高新园区违法企业整改工作，确保东洲河、海新河水质达到考核标准。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2019年10月底前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东洲区党委政府、高新区管委会、市水务局、市生态环境局、市住建局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8" w:hRule="atLeast"/>
        </w:trPr>
        <w:tc>
          <w:tcPr>
            <w:tcW w:w="14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   六、坚决完成中央环保督察整改任务，确保突出生态环境问题整改取得新成效</w:t>
            </w:r>
          </w:p>
        </w:tc>
        <w:tc>
          <w:tcPr>
            <w:tcW w:w="14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开展五个专项整治行动。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55、围绕突出生态环境问题，坚持举一反三，深入开展秋季</w:t>
            </w:r>
            <w:r>
              <w:rPr>
                <w:rFonts w:hint="eastAsia" w:ascii="宋体" w:hAnsi="宋体" w:eastAsia="宋体" w:cs="宋体"/>
                <w:kern w:val="0"/>
                <w:sz w:val="20"/>
                <w:lang w:eastAsia="zh-CN"/>
              </w:rPr>
              <w:t>秸秆</w:t>
            </w:r>
            <w:r>
              <w:rPr>
                <w:rFonts w:hint="eastAsia" w:ascii="宋体" w:hAnsi="宋体" w:eastAsia="宋体" w:cs="宋体"/>
                <w:kern w:val="0"/>
                <w:sz w:val="20"/>
              </w:rPr>
              <w:t>焚烧专项行动、扬尘治理专项行动、县级饮用水水源地环境整治专项行动、直排入河企业排污口整治专项行动、危险废物排查整治等专项整治行动，确保群众关心的问题得到解决。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2019年年底前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各县区政府、开发区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1445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完成群众举报案件办理。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56、完成中央环保督察组第一轮督察交办案件办理并销号。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2019年8月底前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市直各有关部门、各县区政府</w:t>
            </w:r>
          </w:p>
        </w:tc>
        <w:tc>
          <w:tcPr>
            <w:tcW w:w="15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1445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57、前完成“回头看”交办案件办理并销号工作。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2019年年底前</w:t>
            </w:r>
          </w:p>
        </w:tc>
        <w:tc>
          <w:tcPr>
            <w:tcW w:w="13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</w:t>
            </w:r>
          </w:p>
        </w:tc>
        <w:tc>
          <w:tcPr>
            <w:tcW w:w="13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市直各有关部门、各县区政府</w:t>
            </w:r>
          </w:p>
        </w:tc>
        <w:tc>
          <w:tcPr>
            <w:tcW w:w="15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0" w:hRule="atLeast"/>
        </w:trPr>
        <w:tc>
          <w:tcPr>
            <w:tcW w:w="1445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 xml:space="preserve">   七、深化生态文明体制改革，确保生态环境治理体系建设取得新成效</w:t>
            </w: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完善生态环境监管体系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58、深化生态文明体制改革，全面完成省以下生态环境机构监测监察执法垂直管理制度改革。建立独立权威高效的生态环境监测体系，协助做好国家地表水和土壤环境监测事权上收工作。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　　在全市试行生态环境损害赔偿制度，2020年形成比较完善的生态环境损害赔偿制度。加快推行排污许可制度，全面落实企业治污责任，强化证后监管和处罚，2020年实现“一证式”管理。</w:t>
            </w:r>
          </w:p>
        </w:tc>
        <w:tc>
          <w:tcPr>
            <w:tcW w:w="4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市生态环境局、市编委办、发改委、工信局、自然资源局、住建局、农业农村局、水务局等单位按职责分工负责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1" w:hRule="atLeast"/>
        </w:trPr>
        <w:tc>
          <w:tcPr>
            <w:tcW w:w="14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健全生态环境保护法治体系</w:t>
            </w:r>
          </w:p>
        </w:tc>
        <w:tc>
          <w:tcPr>
            <w:tcW w:w="38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59、整合生态环境保护综合执法队伍，统一实行生态环境保护执法。强化环境监管执法，建立生态环境保护综合执法机关、公安机关、检察机关、审判机关信息共享、案情通报、案件移送、重大案件会商督办和案件双向咨询制度，完善生态环境保护领域民事、行政公益诉讼制度。</w:t>
            </w:r>
          </w:p>
        </w:tc>
        <w:tc>
          <w:tcPr>
            <w:tcW w:w="28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2019年年底前并长期坚持。</w:t>
            </w:r>
          </w:p>
        </w:tc>
        <w:tc>
          <w:tcPr>
            <w:tcW w:w="4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市生态环境局、市编委办、司法局、公安局、工信局、自然资源局、住建局、农业农村局、水务局等单位按职责分工负责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5" w:hRule="atLeast"/>
        </w:trPr>
        <w:tc>
          <w:tcPr>
            <w:tcW w:w="14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ind w:firstLine="400" w:firstLineChars="200"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七、深化生态文明体制改革，确保生态环境治理体系建设取得新成效</w:t>
            </w:r>
          </w:p>
        </w:tc>
        <w:tc>
          <w:tcPr>
            <w:tcW w:w="14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强化生态环境保护能力保障体系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60、推进区域性、流域性生态环境问题研究，开展环境承载力监测预警，实施环境综合治理重大项目。开展重点区域、流域、行业环境与健康调查，建立风险监测网络及风险评估体系。健全跨部门、跨区域环境应急协调联动机制，建立统一的环境应急预案电子备案系统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2020年年底前并长期坚持。</w:t>
            </w:r>
          </w:p>
        </w:tc>
        <w:tc>
          <w:tcPr>
            <w:tcW w:w="4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市发改委、生态环境局按、自然资源局、住建局、农业农村局、水务局、卫健委、气象局等单位按职责分工负责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3" w:hRule="atLeast"/>
        </w:trPr>
        <w:tc>
          <w:tcPr>
            <w:tcW w:w="14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</w:p>
        </w:tc>
        <w:tc>
          <w:tcPr>
            <w:tcW w:w="1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构建生态环境保护社会行动体系</w:t>
            </w:r>
          </w:p>
        </w:tc>
        <w:tc>
          <w:tcPr>
            <w:tcW w:w="38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61、健全生态环境新闻发布机制，注重加强新媒体宣传，及时报道生态环境保护成效做法、存在问题及整改情况。依托一报一台一网(政府官方网站)，曝光突出问题，报道整改进展情况。完善环境信息公开制度，加强重特大突发环境事件信息公开。重点排污单位、高架源全部安装自动在线监控设备并与环境保护部门联网，依法公开排污信息。</w:t>
            </w:r>
          </w:p>
        </w:tc>
        <w:tc>
          <w:tcPr>
            <w:tcW w:w="2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2020年年底前并长期坚持</w:t>
            </w:r>
          </w:p>
        </w:tc>
        <w:tc>
          <w:tcPr>
            <w:tcW w:w="429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</w:rPr>
              <w:t>市生态环境局、市委宣传部、住建局、文旅局、工信局、农业农村局等单位按职责分工负责</w:t>
            </w:r>
          </w:p>
        </w:tc>
      </w:tr>
    </w:tbl>
    <w:p/>
    <w:sectPr>
      <w:pgSz w:w="16838" w:h="11906" w:orient="landscape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767B90"/>
    <w:rsid w:val="0D767B90"/>
    <w:rsid w:val="9FEF4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2019-06-14T14:10:00Z</dcterms:created>
  <dc:creator>fszwg</dc:creator>
  <cp:lastModifiedBy>fushunshi</cp:lastModifiedBy>
  <dcterms:modified xsi:type="dcterms:W3CDTF">2025-02-18T08:51:56Z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