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both"/>
        <w:rPr>
          <w:rFonts w:cs="黑体" w:asciiTheme="minorEastAsia" w:hAnsiTheme="minorEastAsia"/>
          <w:b/>
          <w:color w:val="auto"/>
          <w:sz w:val="44"/>
          <w:szCs w:val="44"/>
          <w:highlight w:val="none"/>
        </w:rPr>
      </w:pPr>
      <w:bookmarkStart w:id="0" w:name="_Toc5371"/>
    </w:p>
    <w:p>
      <w:pPr>
        <w:spacing w:line="1000" w:lineRule="exact"/>
        <w:jc w:val="center"/>
        <w:rPr>
          <w:rFonts w:cs="黑体" w:asciiTheme="minorEastAsia" w:hAnsiTheme="minorEastAsia"/>
          <w:b/>
          <w:color w:val="auto"/>
          <w:sz w:val="44"/>
          <w:szCs w:val="44"/>
          <w:highlight w:val="none"/>
        </w:rPr>
      </w:pPr>
    </w:p>
    <w:p>
      <w:pPr>
        <w:spacing w:line="1000" w:lineRule="exact"/>
        <w:jc w:val="center"/>
        <w:rPr>
          <w:rFonts w:hint="eastAsia" w:ascii="黑体" w:hAnsi="黑体" w:eastAsia="黑体" w:cs="黑体"/>
          <w:b/>
          <w:color w:val="auto"/>
          <w:sz w:val="48"/>
          <w:szCs w:val="48"/>
          <w:highlight w:val="none"/>
        </w:rPr>
      </w:pPr>
    </w:p>
    <w:p>
      <w:pPr>
        <w:spacing w:line="1000" w:lineRule="exact"/>
        <w:jc w:val="center"/>
        <w:rPr>
          <w:rFonts w:ascii="黑体" w:hAnsi="黑体" w:eastAsia="黑体" w:cs="黑体"/>
          <w:b/>
          <w:color w:val="auto"/>
          <w:sz w:val="48"/>
          <w:szCs w:val="48"/>
          <w:highlight w:val="none"/>
        </w:rPr>
      </w:pPr>
      <w:bookmarkStart w:id="69" w:name="_GoBack"/>
      <w:r>
        <w:rPr>
          <w:rFonts w:hint="eastAsia" w:ascii="黑体" w:hAnsi="黑体" w:eastAsia="黑体" w:cs="黑体"/>
          <w:b/>
          <w:color w:val="auto"/>
          <w:sz w:val="48"/>
          <w:szCs w:val="48"/>
          <w:highlight w:val="none"/>
        </w:rPr>
        <w:t>抚顺市“十四五”生态环境保护规划</w:t>
      </w:r>
    </w:p>
    <w:bookmarkEnd w:id="69"/>
    <w:p>
      <w:pPr>
        <w:spacing w:line="1000" w:lineRule="exact"/>
        <w:jc w:val="center"/>
        <w:rPr>
          <w:rFonts w:ascii="楷体" w:hAnsi="楷体" w:eastAsia="楷体" w:cs="黑体"/>
          <w:b/>
          <w:color w:val="auto"/>
          <w:sz w:val="36"/>
          <w:szCs w:val="36"/>
          <w:highlight w:val="none"/>
        </w:rPr>
      </w:pPr>
    </w:p>
    <w:p>
      <w:pPr>
        <w:pStyle w:val="2"/>
        <w:rPr>
          <w:color w:val="auto"/>
          <w:highlight w:val="none"/>
        </w:rPr>
      </w:pPr>
    </w:p>
    <w:p>
      <w:pPr>
        <w:spacing w:line="1000" w:lineRule="exact"/>
        <w:jc w:val="center"/>
        <w:rPr>
          <w:rFonts w:ascii="楷体" w:hAnsi="楷体" w:eastAsia="楷体" w:cs="黑体"/>
          <w:b/>
          <w:color w:val="auto"/>
          <w:sz w:val="36"/>
          <w:szCs w:val="36"/>
          <w:highlight w:val="none"/>
        </w:rPr>
      </w:pPr>
    </w:p>
    <w:p>
      <w:pPr>
        <w:spacing w:line="1000" w:lineRule="exact"/>
        <w:jc w:val="center"/>
        <w:rPr>
          <w:rFonts w:ascii="楷体" w:hAnsi="楷体" w:eastAsia="楷体" w:cs="黑体"/>
          <w:b/>
          <w:color w:val="auto"/>
          <w:sz w:val="36"/>
          <w:szCs w:val="36"/>
          <w:highlight w:val="none"/>
        </w:rPr>
      </w:pPr>
    </w:p>
    <w:p>
      <w:pPr>
        <w:spacing w:line="1000" w:lineRule="exact"/>
        <w:jc w:val="center"/>
        <w:rPr>
          <w:rFonts w:ascii="楷体" w:hAnsi="楷体" w:eastAsia="楷体" w:cs="黑体"/>
          <w:b/>
          <w:color w:val="auto"/>
          <w:sz w:val="36"/>
          <w:szCs w:val="36"/>
          <w:highlight w:val="none"/>
        </w:rPr>
      </w:pPr>
    </w:p>
    <w:p>
      <w:pPr>
        <w:spacing w:line="1000" w:lineRule="exact"/>
        <w:jc w:val="center"/>
        <w:rPr>
          <w:rFonts w:ascii="楷体" w:hAnsi="楷体" w:eastAsia="楷体" w:cs="黑体"/>
          <w:b/>
          <w:color w:val="auto"/>
          <w:sz w:val="36"/>
          <w:szCs w:val="36"/>
          <w:highlight w:val="none"/>
        </w:rPr>
      </w:pPr>
    </w:p>
    <w:p>
      <w:pPr>
        <w:ind w:firstLine="963" w:firstLineChars="300"/>
        <w:jc w:val="both"/>
        <w:rPr>
          <w:rFonts w:hint="eastAsia" w:ascii="宋体" w:hAnsi="宋体" w:eastAsia="宋体" w:cs="宋体"/>
          <w:b/>
          <w:bCs/>
          <w:color w:val="auto"/>
          <w:sz w:val="32"/>
          <w:szCs w:val="32"/>
          <w:highlight w:val="none"/>
          <w:lang w:val="en-US" w:eastAsia="zh-CN"/>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sdt>
      <w:sdtPr>
        <w:rPr>
          <w:rFonts w:ascii="宋体" w:hAnsi="宋体" w:eastAsia="宋体"/>
          <w:color w:val="auto"/>
          <w:highlight w:val="none"/>
        </w:rPr>
        <w:id w:val="147475319"/>
        <w:docPartObj>
          <w:docPartGallery w:val="Table of Contents"/>
          <w:docPartUnique/>
        </w:docPartObj>
      </w:sdtPr>
      <w:sdtEndPr>
        <w:rPr>
          <w:rFonts w:ascii="宋体" w:hAnsi="宋体" w:eastAsia="宋体" w:cs="宋体"/>
          <w:b/>
          <w:color w:val="auto"/>
          <w:szCs w:val="36"/>
          <w:highlight w:val="none"/>
        </w:rPr>
      </w:sdtEndPr>
      <w:sdtContent>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目录</w:t>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TOC \o "1-2" \h \u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_Toc9840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一、发展基础和面临的形势</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_Toc9840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_Toc4021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生态环境保护取得阶段性成效</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_Toc4021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_Toc10953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w:t>
          </w:r>
          <w:r>
            <w:rPr>
              <w:rFonts w:hint="eastAsia" w:ascii="仿宋" w:hAnsi="仿宋" w:eastAsia="仿宋" w:cs="仿宋"/>
              <w:bCs w:val="0"/>
              <w:color w:val="auto"/>
              <w:sz w:val="24"/>
              <w:szCs w:val="24"/>
              <w:highlight w:val="none"/>
              <w:lang w:val="en-US" w:eastAsia="zh-CN"/>
            </w:rPr>
            <w:t>二</w:t>
          </w:r>
          <w:r>
            <w:rPr>
              <w:rFonts w:hint="eastAsia" w:ascii="仿宋" w:hAnsi="仿宋" w:eastAsia="仿宋" w:cs="仿宋"/>
              <w:bCs w:val="0"/>
              <w:color w:val="auto"/>
              <w:sz w:val="24"/>
              <w:szCs w:val="24"/>
              <w:highlight w:val="none"/>
            </w:rPr>
            <w:t>）面临的形势</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_Toc10953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_Toc28498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、“十四五”生态环境保护总体要求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_Toc28498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_Toc20763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（一）指导思想</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_Toc20763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_Toc2952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（二）遵循原则</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_Toc2952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_Toc13081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val="0"/>
              <w:color w:val="auto"/>
              <w:sz w:val="24"/>
              <w:szCs w:val="24"/>
              <w:highlight w:val="none"/>
            </w:rPr>
            <w:t>（三）规划目标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_Toc13081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_Toc5452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、推进绿色低碳转型升级，加快实现碳排放达峰</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_Toc5452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_Toc2991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（一）全面开展碳达峰行动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_Toc2991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_Toc6784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）优化调整产业结构</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_Toc6784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_Toc32086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）优化调整能源消费结构</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_Toc32086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_Toc14184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）大力发展低碳循环经济</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_Toc14184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_Toc28709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）践行绿色低碳简约生活</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_Toc28709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_Toc9473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shd w:val="clear" w:color="auto" w:fill="FFFFFF"/>
            </w:rPr>
            <w:t>深入打好污染防治攻坚战，持续改善生态环境质量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_Toc9473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_Toc28004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（一）提升大气环境质量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_Toc28004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_Toc4808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shd w:val="clear" w:color="auto" w:fill="FFFFFF"/>
            </w:rPr>
            <w:t>（二）深化水环境综合治理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_Toc4808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_Toc19618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三</w:t>
          </w:r>
          <w:r>
            <w:rPr>
              <w:rFonts w:hint="eastAsia" w:ascii="仿宋" w:hAnsi="仿宋" w:eastAsia="仿宋" w:cs="仿宋"/>
              <w:color w:val="auto"/>
              <w:sz w:val="24"/>
              <w:szCs w:val="24"/>
              <w:highlight w:val="none"/>
              <w:shd w:val="clear" w:color="auto" w:fill="FFFFFF"/>
            </w:rPr>
            <w:t>）加强土壤污染系统防控</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_Toc19618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_Toc28656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四</w:t>
          </w:r>
          <w:r>
            <w:rPr>
              <w:rFonts w:hint="eastAsia" w:ascii="仿宋" w:hAnsi="仿宋" w:eastAsia="仿宋" w:cs="仿宋"/>
              <w:color w:val="auto"/>
              <w:sz w:val="24"/>
              <w:szCs w:val="24"/>
              <w:highlight w:val="none"/>
              <w:shd w:val="clear" w:color="auto" w:fill="FFFFFF"/>
            </w:rPr>
            <w:t>）加强地下水污染协同防治</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_Toc28656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_Toc26276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shd w:val="clear" w:color="auto" w:fill="FFFFFF"/>
            </w:rPr>
            <w:t>（五）加强固体废物系统治理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_Toc26276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_Toc10013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shd w:val="clear" w:color="auto" w:fill="FFFFFF"/>
            </w:rPr>
            <w:t>（六）加强噪声污染防治</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_Toc10013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_Toc25767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七</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强化生态环境风险防控</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_Toc25767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_Toc10521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shd w:val="clear" w:color="auto" w:fill="FFFFFF"/>
              <w:lang w:val="en-US" w:eastAsia="zh-CN"/>
            </w:rPr>
            <w:t>五</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rPr>
            <w:t>提升水源生态涵养基地环境质量，筑牢生态安全屏障</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_Toc10521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_Toc14022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（一）</w:t>
          </w:r>
          <w:r>
            <w:rPr>
              <w:rFonts w:hint="eastAsia" w:ascii="仿宋" w:hAnsi="仿宋" w:eastAsia="仿宋" w:cs="仿宋"/>
              <w:bCs/>
              <w:color w:val="auto"/>
              <w:sz w:val="24"/>
              <w:szCs w:val="24"/>
              <w:highlight w:val="none"/>
              <w:lang w:val="en-US" w:eastAsia="zh-CN"/>
            </w:rPr>
            <w:t>保障饮用水水源安全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_Toc14022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_Toc17957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二</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防范</w:t>
          </w:r>
          <w:r>
            <w:rPr>
              <w:rFonts w:hint="eastAsia" w:ascii="仿宋" w:hAnsi="仿宋" w:eastAsia="仿宋" w:cs="仿宋"/>
              <w:bCs/>
              <w:color w:val="auto"/>
              <w:sz w:val="24"/>
              <w:szCs w:val="24"/>
              <w:highlight w:val="none"/>
            </w:rPr>
            <w:t>水源地环境污染风险</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_Toc17957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_Toc21127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lang w:val="zh-TW"/>
            </w:rPr>
            <w:t>（</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zh-TW"/>
            </w:rPr>
            <w:t>开展保护区生态保护修复</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_Toc21127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_Toc4814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shd w:val="clear" w:color="auto" w:fill="FFFFFF"/>
              <w:lang w:val="en-US" w:eastAsia="zh-CN"/>
            </w:rPr>
            <w:t>六</w:t>
          </w:r>
          <w:r>
            <w:rPr>
              <w:rFonts w:hint="eastAsia" w:ascii="仿宋" w:hAnsi="仿宋" w:eastAsia="仿宋" w:cs="仿宋"/>
              <w:color w:val="auto"/>
              <w:sz w:val="24"/>
              <w:szCs w:val="24"/>
              <w:highlight w:val="none"/>
              <w:shd w:val="clear" w:color="auto" w:fill="FFFFFF"/>
            </w:rPr>
            <w:t>、深化农业农村环境治理，打造美丽乡村</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_Toc4814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_Toc8926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（一）着力解决养殖业污染</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_Toc8926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_Toc15474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（二）有效防控种植业污染</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_Toc15474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_Toc7455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三</w:t>
          </w:r>
          <w:r>
            <w:rPr>
              <w:rFonts w:hint="eastAsia" w:ascii="仿宋" w:hAnsi="仿宋" w:eastAsia="仿宋" w:cs="仿宋"/>
              <w:bCs/>
              <w:color w:val="auto"/>
              <w:sz w:val="24"/>
              <w:szCs w:val="24"/>
              <w:highlight w:val="none"/>
            </w:rPr>
            <w:t>）加强农村饮用水安全保障</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_Toc7455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_Toc4817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四</w:t>
          </w:r>
          <w:r>
            <w:rPr>
              <w:rFonts w:hint="eastAsia" w:ascii="仿宋" w:hAnsi="仿宋" w:eastAsia="仿宋" w:cs="仿宋"/>
              <w:bCs/>
              <w:color w:val="auto"/>
              <w:sz w:val="24"/>
              <w:szCs w:val="24"/>
              <w:highlight w:val="none"/>
            </w:rPr>
            <w:t>）做好农村生活污水处理与改厕有效衔接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_Toc4817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_Toc19130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五</w:t>
          </w:r>
          <w:r>
            <w:rPr>
              <w:rFonts w:hint="eastAsia" w:ascii="仿宋" w:hAnsi="仿宋" w:eastAsia="仿宋" w:cs="仿宋"/>
              <w:bCs/>
              <w:color w:val="auto"/>
              <w:sz w:val="24"/>
              <w:szCs w:val="24"/>
              <w:highlight w:val="none"/>
            </w:rPr>
            <w:t>）推进农村生活垃圾治理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_Toc19130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_Toc30572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六</w:t>
          </w:r>
          <w:r>
            <w:rPr>
              <w:rFonts w:hint="eastAsia" w:ascii="仿宋" w:hAnsi="仿宋" w:eastAsia="仿宋" w:cs="仿宋"/>
              <w:bCs/>
              <w:color w:val="auto"/>
              <w:sz w:val="24"/>
              <w:szCs w:val="24"/>
              <w:highlight w:val="none"/>
            </w:rPr>
            <w:t>）深入推进农村环境综合整治</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_Toc30572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fldChar w:fldCharType="begin"/>
          </w:r>
          <w:r>
            <w:rPr>
              <w:rFonts w:hint="eastAsia" w:ascii="仿宋" w:hAnsi="仿宋" w:eastAsia="仿宋" w:cs="仿宋"/>
              <w:bCs/>
              <w:color w:val="auto"/>
              <w:kern w:val="2"/>
              <w:sz w:val="24"/>
              <w:szCs w:val="24"/>
              <w:highlight w:val="none"/>
              <w:lang w:val="en-US" w:eastAsia="zh-CN" w:bidi="ar-SA"/>
            </w:rPr>
            <w:instrText xml:space="preserve"> HYPERLINK \l _Toc30572 </w:instrText>
          </w:r>
          <w:r>
            <w:rPr>
              <w:rFonts w:hint="eastAsia" w:ascii="仿宋" w:hAnsi="仿宋" w:eastAsia="仿宋" w:cs="仿宋"/>
              <w:bCs/>
              <w:color w:val="auto"/>
              <w:kern w:val="2"/>
              <w:sz w:val="24"/>
              <w:szCs w:val="24"/>
              <w:highlight w:val="none"/>
              <w:lang w:val="en-US" w:eastAsia="zh-CN" w:bidi="ar-SA"/>
            </w:rPr>
            <w:fldChar w:fldCharType="separate"/>
          </w:r>
          <w:r>
            <w:rPr>
              <w:rFonts w:hint="eastAsia" w:ascii="仿宋" w:hAnsi="仿宋" w:eastAsia="仿宋" w:cs="仿宋"/>
              <w:bCs/>
              <w:color w:val="auto"/>
              <w:kern w:val="2"/>
              <w:sz w:val="24"/>
              <w:szCs w:val="24"/>
              <w:highlight w:val="none"/>
              <w:lang w:val="en-US" w:eastAsia="zh-CN" w:bidi="ar-SA"/>
            </w:rPr>
            <w:t>（七）强化农村生态环境监管.........................................</w:t>
          </w:r>
          <w:r>
            <w:rPr>
              <w:rFonts w:hint="eastAsia" w:ascii="仿宋" w:hAnsi="仿宋" w:eastAsia="仿宋" w:cs="仿宋"/>
              <w:bCs/>
              <w:color w:val="auto"/>
              <w:kern w:val="2"/>
              <w:sz w:val="24"/>
              <w:szCs w:val="24"/>
              <w:highlight w:val="none"/>
              <w:lang w:val="en-US" w:eastAsia="zh-CN" w:bidi="ar-SA"/>
            </w:rPr>
            <w:fldChar w:fldCharType="begin"/>
          </w:r>
          <w:r>
            <w:rPr>
              <w:rFonts w:hint="eastAsia" w:ascii="仿宋" w:hAnsi="仿宋" w:eastAsia="仿宋" w:cs="仿宋"/>
              <w:bCs/>
              <w:color w:val="auto"/>
              <w:kern w:val="2"/>
              <w:sz w:val="24"/>
              <w:szCs w:val="24"/>
              <w:highlight w:val="none"/>
              <w:lang w:val="en-US" w:eastAsia="zh-CN" w:bidi="ar-SA"/>
            </w:rPr>
            <w:instrText xml:space="preserve"> PAGEREF _Toc30572 \h </w:instrText>
          </w:r>
          <w:r>
            <w:rPr>
              <w:rFonts w:hint="eastAsia" w:ascii="仿宋" w:hAnsi="仿宋" w:eastAsia="仿宋" w:cs="仿宋"/>
              <w:bCs/>
              <w:color w:val="auto"/>
              <w:kern w:val="2"/>
              <w:sz w:val="24"/>
              <w:szCs w:val="24"/>
              <w:highlight w:val="none"/>
              <w:lang w:val="en-US" w:eastAsia="zh-CN" w:bidi="ar-SA"/>
            </w:rPr>
            <w:fldChar w:fldCharType="separate"/>
          </w:r>
          <w:r>
            <w:rPr>
              <w:rFonts w:hint="eastAsia" w:ascii="仿宋" w:hAnsi="仿宋" w:eastAsia="仿宋" w:cs="仿宋"/>
              <w:bCs/>
              <w:color w:val="auto"/>
              <w:kern w:val="2"/>
              <w:sz w:val="24"/>
              <w:szCs w:val="24"/>
              <w:highlight w:val="none"/>
              <w:lang w:val="en-US" w:eastAsia="zh-CN" w:bidi="ar-SA"/>
            </w:rPr>
            <w:t>51</w:t>
          </w:r>
          <w:r>
            <w:rPr>
              <w:rFonts w:hint="eastAsia" w:ascii="仿宋" w:hAnsi="仿宋" w:eastAsia="仿宋" w:cs="仿宋"/>
              <w:bCs/>
              <w:color w:val="auto"/>
              <w:kern w:val="2"/>
              <w:sz w:val="24"/>
              <w:szCs w:val="24"/>
              <w:highlight w:val="none"/>
              <w:lang w:val="en-US" w:eastAsia="zh-CN" w:bidi="ar-SA"/>
            </w:rPr>
            <w:fldChar w:fldCharType="end"/>
          </w:r>
          <w:r>
            <w:rPr>
              <w:rFonts w:hint="eastAsia" w:ascii="仿宋" w:hAnsi="仿宋" w:eastAsia="仿宋" w:cs="仿宋"/>
              <w:bCs/>
              <w:color w:val="auto"/>
              <w:kern w:val="2"/>
              <w:sz w:val="24"/>
              <w:szCs w:val="24"/>
              <w:highlight w:val="none"/>
              <w:lang w:val="en-US" w:eastAsia="zh-CN" w:bidi="ar-SA"/>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_Toc21953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shd w:val="clear" w:color="auto" w:fill="FFFFFF"/>
              <w:lang w:val="en-US" w:eastAsia="zh-CN"/>
            </w:rPr>
            <w:t>七</w:t>
          </w:r>
          <w:r>
            <w:rPr>
              <w:rFonts w:hint="eastAsia" w:ascii="仿宋" w:hAnsi="仿宋" w:eastAsia="仿宋" w:cs="仿宋"/>
              <w:color w:val="auto"/>
              <w:sz w:val="24"/>
              <w:szCs w:val="24"/>
              <w:highlight w:val="none"/>
              <w:shd w:val="clear" w:color="auto" w:fill="FFFFFF"/>
            </w:rPr>
            <w:t>、统筹山水林田湖草</w:t>
          </w:r>
          <w:r>
            <w:rPr>
              <w:rFonts w:hint="eastAsia" w:ascii="仿宋" w:hAnsi="仿宋" w:eastAsia="仿宋" w:cs="仿宋"/>
              <w:color w:val="auto"/>
              <w:sz w:val="24"/>
              <w:szCs w:val="24"/>
              <w:highlight w:val="none"/>
              <w:shd w:val="clear" w:color="auto" w:fill="FFFFFF"/>
              <w:lang w:val="en-US" w:eastAsia="zh-CN"/>
            </w:rPr>
            <w:t>沙</w:t>
          </w:r>
          <w:r>
            <w:rPr>
              <w:rFonts w:hint="eastAsia" w:ascii="仿宋" w:hAnsi="仿宋" w:eastAsia="仿宋" w:cs="仿宋"/>
              <w:color w:val="auto"/>
              <w:sz w:val="24"/>
              <w:szCs w:val="24"/>
              <w:highlight w:val="none"/>
              <w:shd w:val="clear" w:color="auto" w:fill="FFFFFF"/>
            </w:rPr>
            <w:t>一体化保护和修复，提升生态系统功能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_Toc21953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_Toc10357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（一）建立生态环境分区引导机制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_Toc10357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_Toc22131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（二）强化国土生态空间管控</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_Toc22131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_Toc19609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（三）加强生态系统保护和修复</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_Toc19609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_Toc21105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（四）加强生物多样性保护</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_Toc21105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_Toc3583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（五）加强生态保护监管工作</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_Toc3583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_Toc8771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（六）探索建立自然生态产品价值实现机制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_Toc8771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_Toc17948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TW"/>
            </w:rPr>
            <w:t>加快</w:t>
          </w:r>
          <w:r>
            <w:rPr>
              <w:rFonts w:hint="eastAsia" w:ascii="仿宋" w:hAnsi="仿宋" w:eastAsia="仿宋" w:cs="仿宋"/>
              <w:bCs/>
              <w:color w:val="auto"/>
              <w:sz w:val="24"/>
              <w:szCs w:val="24"/>
              <w:highlight w:val="none"/>
            </w:rPr>
            <w:t>生态环境治理体系建设，促进治理能力现代化</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_Toc17948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_Toc22612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（一）深化“放管服”改革</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_Toc22612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_Toc2386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（二）推进数字信息化发展</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_Toc2386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_Toc23702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（三）促进多元化主体协同共治</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_Toc23702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_Toc6268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（四）健全环境治理法规政策体系</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_Toc6268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68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_Toc19045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加强生态环境保护科技研发</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_Toc19045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70</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_Toc12236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、保障措施</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_Toc12236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_Toc19044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（一）加强组织领导</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_Toc19044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_Toc9639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（二）强化规划落实</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_Toc9639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71</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_Toc12394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（三）加强执法监督</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_Toc12394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_Toc8555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（四）健全市场机制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_Toc8555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_Toc9661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（五）拓宽融资渠道</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_Toc9661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_Toc12599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（六）加强队伍建设</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_Toc12599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pStyle w:val="20"/>
            <w:keepNext w:val="0"/>
            <w:keepLines w:val="0"/>
            <w:pageBreakBefore w:val="0"/>
            <w:widowControl w:val="0"/>
            <w:tabs>
              <w:tab w:val="right" w:leader="dot" w:pos="8306"/>
            </w:tabs>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_Toc10791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（七）加大宣传教育</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_Toc10791 \h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74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b/>
              <w:color w:val="auto"/>
              <w:sz w:val="36"/>
              <w:szCs w:val="36"/>
              <w:highlight w:val="none"/>
            </w:rPr>
            <w:sectPr>
              <w:pgSz w:w="11906" w:h="16838"/>
              <w:pgMar w:top="1440" w:right="1800" w:bottom="1440" w:left="1800" w:header="708" w:footer="708" w:gutter="0"/>
              <w:pgBorders>
                <w:top w:val="none" w:sz="0" w:space="0"/>
                <w:left w:val="none" w:sz="0" w:space="0"/>
                <w:bottom w:val="none" w:sz="0" w:space="0"/>
                <w:right w:val="none" w:sz="0" w:space="0"/>
              </w:pgBorders>
              <w:cols w:space="708" w:num="1"/>
              <w:docGrid w:type="lines" w:linePitch="360" w:charSpace="0"/>
            </w:sectPr>
          </w:pPr>
          <w:r>
            <w:rPr>
              <w:rFonts w:hint="eastAsia" w:ascii="仿宋" w:hAnsi="仿宋" w:eastAsia="仿宋" w:cs="仿宋"/>
              <w:color w:val="auto"/>
              <w:sz w:val="24"/>
              <w:szCs w:val="24"/>
              <w:highlight w:val="none"/>
            </w:rPr>
            <w:fldChar w:fldCharType="end"/>
          </w:r>
        </w:p>
      </w:sdtContent>
    </w:sdt>
    <w:bookmarkEnd w:id="0"/>
    <w:p>
      <w:pPr>
        <w:pStyle w:val="56"/>
        <w:ind w:firstLine="64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前言</w:t>
      </w:r>
    </w:p>
    <w:p>
      <w:pPr>
        <w:pStyle w:val="56"/>
        <w:ind w:firstLine="640"/>
        <w:rPr>
          <w:rFonts w:ascii="Times New Roman" w:hAnsi="Times New Roman" w:cs="Times New Roman"/>
          <w:color w:val="auto"/>
          <w:highlight w:val="none"/>
        </w:rPr>
      </w:pPr>
      <w:r>
        <w:rPr>
          <w:rFonts w:hint="eastAsia" w:ascii="仿宋" w:eastAsia="仿宋"/>
          <w:color w:val="auto"/>
          <w:highlight w:val="none"/>
          <w:lang w:val="en-US" w:eastAsia="zh-CN"/>
        </w:rPr>
        <w:t>为了深入打好污染防治攻坚战，持续改善生态环境质量，实现生态文明建设新进步，引领全市人民开启全面建设人与自然和谐共生的美丽抚顺目标，依据</w:t>
      </w:r>
      <w:r>
        <w:rPr>
          <w:rFonts w:hint="eastAsia" w:ascii="仿宋" w:eastAsia="仿宋"/>
          <w:color w:val="auto"/>
          <w:highlight w:val="none"/>
        </w:rPr>
        <w:t>《辽宁省“十四五”生态环境保护规划》《抚顺市国民经济和社会发展第十四个五年规划和2035年远景目标</w:t>
      </w:r>
      <w:r>
        <w:rPr>
          <w:rFonts w:hint="eastAsia" w:ascii="仿宋" w:eastAsia="仿宋"/>
          <w:color w:val="auto"/>
          <w:highlight w:val="none"/>
          <w:lang w:val="en-US" w:eastAsia="zh-CN"/>
        </w:rPr>
        <w:t>纲要</w:t>
      </w:r>
      <w:r>
        <w:rPr>
          <w:rFonts w:hint="eastAsia" w:ascii="仿宋" w:eastAsia="仿宋"/>
          <w:color w:val="auto"/>
          <w:highlight w:val="none"/>
        </w:rPr>
        <w:t>》</w:t>
      </w:r>
      <w:r>
        <w:rPr>
          <w:rFonts w:hint="eastAsia" w:ascii="仿宋" w:eastAsia="仿宋"/>
          <w:color w:val="auto"/>
          <w:highlight w:val="none"/>
          <w:lang w:eastAsia="zh-CN"/>
        </w:rPr>
        <w:t>，</w:t>
      </w:r>
      <w:r>
        <w:rPr>
          <w:rFonts w:hint="eastAsia" w:ascii="仿宋" w:eastAsia="仿宋"/>
          <w:color w:val="auto"/>
          <w:highlight w:val="none"/>
        </w:rPr>
        <w:t>制定本规划</w:t>
      </w:r>
      <w:r>
        <w:rPr>
          <w:rFonts w:ascii="Times New Roman" w:hAnsi="Times New Roman" w:cs="Times New Roman"/>
          <w:color w:val="auto"/>
          <w:highlight w:val="none"/>
        </w:rPr>
        <w:t>。</w:t>
      </w:r>
    </w:p>
    <w:p>
      <w:pPr>
        <w:pStyle w:val="3"/>
        <w:spacing w:beforeAutospacing="0" w:afterAutospacing="0" w:line="800" w:lineRule="exact"/>
        <w:ind w:firstLine="642" w:firstLineChars="200"/>
        <w:jc w:val="both"/>
        <w:rPr>
          <w:rFonts w:hint="default" w:cs="仿宋" w:asciiTheme="minorEastAsia" w:hAnsiTheme="minorEastAsia" w:eastAsiaTheme="minorEastAsia"/>
          <w:color w:val="auto"/>
          <w:sz w:val="32"/>
          <w:szCs w:val="32"/>
          <w:highlight w:val="none"/>
          <w:lang w:val="en-US" w:eastAsia="zh-CN"/>
        </w:rPr>
      </w:pPr>
      <w:bookmarkStart w:id="1" w:name="_Toc9840"/>
      <w:bookmarkStart w:id="2" w:name="_Toc6460"/>
      <w:r>
        <w:rPr>
          <w:rFonts w:hint="eastAsia" w:cs="仿宋" w:asciiTheme="minorEastAsia" w:hAnsiTheme="minorEastAsia" w:eastAsiaTheme="minorEastAsia"/>
          <w:color w:val="auto"/>
          <w:sz w:val="32"/>
          <w:szCs w:val="32"/>
          <w:highlight w:val="none"/>
          <w:lang w:val="en-US" w:eastAsia="zh-CN"/>
        </w:rPr>
        <w:t>一、发展基础和面临的形势</w:t>
      </w:r>
      <w:bookmarkEnd w:id="1"/>
    </w:p>
    <w:bookmarkEnd w:id="2"/>
    <w:p>
      <w:pPr>
        <w:spacing w:line="600" w:lineRule="exact"/>
        <w:ind w:firstLine="640" w:firstLineChars="200"/>
        <w:jc w:val="left"/>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十四五”时期是我国全面建设社会主义现代化国家征程、向第二个百年奋斗目标进军的第一个五年，也是抚顺市全面贯彻落实习近平生态文明思想、谱写美丽抚顺建设新篇章、推动经济社会发展全面绿色转型的五年。</w:t>
      </w:r>
    </w:p>
    <w:p>
      <w:pPr>
        <w:spacing w:line="800" w:lineRule="exact"/>
        <w:ind w:firstLine="629" w:firstLineChars="196"/>
        <w:outlineLvl w:val="1"/>
        <w:rPr>
          <w:rFonts w:hint="default" w:asciiTheme="minorEastAsia" w:hAnsiTheme="minorEastAsia" w:eastAsiaTheme="minorEastAsia"/>
          <w:b/>
          <w:color w:val="auto"/>
          <w:sz w:val="32"/>
          <w:szCs w:val="32"/>
          <w:highlight w:val="none"/>
          <w:lang w:val="en-US" w:eastAsia="zh-CN"/>
        </w:rPr>
      </w:pPr>
      <w:bookmarkStart w:id="3" w:name="_Toc4021"/>
      <w:r>
        <w:rPr>
          <w:rFonts w:hint="eastAsia" w:asciiTheme="minorEastAsia" w:hAnsiTheme="minorEastAsia"/>
          <w:b/>
          <w:color w:val="auto"/>
          <w:sz w:val="32"/>
          <w:szCs w:val="32"/>
          <w:highlight w:val="none"/>
        </w:rPr>
        <w:t>（一）</w:t>
      </w:r>
      <w:r>
        <w:rPr>
          <w:rFonts w:hint="eastAsia" w:asciiTheme="minorEastAsia" w:hAnsiTheme="minorEastAsia"/>
          <w:b/>
          <w:color w:val="auto"/>
          <w:sz w:val="32"/>
          <w:szCs w:val="32"/>
          <w:highlight w:val="none"/>
          <w:lang w:val="en-US" w:eastAsia="zh-CN"/>
        </w:rPr>
        <w:t>生态环境保护取得阶段性成效</w:t>
      </w:r>
      <w:bookmarkEnd w:id="3"/>
    </w:p>
    <w:p>
      <w:pPr>
        <w:spacing w:line="600" w:lineRule="exact"/>
        <w:ind w:firstLine="640" w:firstLineChars="200"/>
        <w:jc w:val="both"/>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十三五”期间，抚顺市深入贯彻落实习近平生态文明思想，坚定不移贯彻落实国家、省生态文明建设的总体部署，以改善环境质量为核心，坚决打好污染防治攻坚战，生态环境治理体系和治理能力明显增强，生态环境质量总体改善，人民群众的生态环境获得感、幸福感和安全感不断提升。</w:t>
      </w:r>
    </w:p>
    <w:p>
      <w:pPr>
        <w:spacing w:line="600" w:lineRule="exact"/>
        <w:ind w:firstLine="640" w:firstLineChars="200"/>
        <w:jc w:val="both"/>
        <w:rPr>
          <w:rFonts w:hint="default" w:ascii="楷体" w:hAnsi="楷体" w:eastAsia="仿宋"/>
          <w:bCs/>
          <w:color w:val="auto"/>
          <w:sz w:val="32"/>
          <w:szCs w:val="32"/>
          <w:highlight w:val="none"/>
          <w:lang w:val="en-US" w:eastAsia="zh-CN"/>
        </w:rPr>
      </w:pPr>
      <w:r>
        <w:rPr>
          <w:rFonts w:hint="eastAsia" w:ascii="楷体" w:hAnsi="楷体" w:eastAsia="楷体" w:cs="宋体"/>
          <w:color w:val="auto"/>
          <w:sz w:val="32"/>
          <w:szCs w:val="32"/>
          <w:highlight w:val="none"/>
          <w:lang w:val="en-US" w:eastAsia="zh-CN"/>
        </w:rPr>
        <w:t>蓝天保卫战效果明显。</w:t>
      </w:r>
      <w:r>
        <w:rPr>
          <w:rFonts w:hint="eastAsia" w:ascii="仿宋" w:hAnsi="仿宋" w:eastAsia="仿宋"/>
          <w:color w:val="auto"/>
          <w:sz w:val="32"/>
          <w:szCs w:val="32"/>
          <w:highlight w:val="none"/>
          <w:lang w:val="en-US" w:eastAsia="zh-CN"/>
        </w:rPr>
        <w:t>以强化大气重污染区域治理、重污染天气应对为重点，统筹实施控煤、治企、控车、降尘、防秸秆露天焚烧。截止</w:t>
      </w:r>
      <w:r>
        <w:rPr>
          <w:rFonts w:hint="eastAsia" w:ascii="仿宋" w:hAnsi="仿宋" w:eastAsia="仿宋"/>
          <w:color w:val="auto"/>
          <w:sz w:val="32"/>
          <w:szCs w:val="32"/>
          <w:highlight w:val="none"/>
        </w:rPr>
        <w:t>2020年</w:t>
      </w:r>
      <w:r>
        <w:rPr>
          <w:rFonts w:hint="eastAsia" w:ascii="仿宋" w:hAnsi="仿宋" w:eastAsia="仿宋"/>
          <w:color w:val="auto"/>
          <w:sz w:val="32"/>
          <w:szCs w:val="32"/>
          <w:highlight w:val="none"/>
          <w:lang w:val="en-US" w:eastAsia="zh-CN"/>
        </w:rPr>
        <w:t>底</w:t>
      </w:r>
      <w:r>
        <w:rPr>
          <w:rFonts w:hint="eastAsia" w:ascii="仿宋" w:hAnsi="仿宋" w:eastAsia="仿宋"/>
          <w:color w:val="auto"/>
          <w:sz w:val="32"/>
          <w:szCs w:val="32"/>
          <w:highlight w:val="none"/>
        </w:rPr>
        <w:t>，二氧化硫排放量</w:t>
      </w:r>
      <w:r>
        <w:rPr>
          <w:rFonts w:hint="eastAsia" w:ascii="仿宋" w:hAnsi="仿宋" w:eastAsia="仿宋"/>
          <w:color w:val="auto"/>
          <w:sz w:val="32"/>
          <w:szCs w:val="32"/>
          <w:highlight w:val="none"/>
          <w:lang w:val="en-US" w:eastAsia="zh-CN"/>
        </w:rPr>
        <w:t>较2015年下降</w:t>
      </w:r>
      <w:r>
        <w:rPr>
          <w:rFonts w:hint="eastAsia" w:ascii="仿宋" w:hAnsi="仿宋" w:eastAsia="仿宋"/>
          <w:color w:val="auto"/>
          <w:sz w:val="32"/>
          <w:szCs w:val="32"/>
          <w:highlight w:val="none"/>
        </w:rPr>
        <w:t>25.9%，氮氧化物排放量</w:t>
      </w:r>
      <w:r>
        <w:rPr>
          <w:rFonts w:hint="eastAsia" w:ascii="仿宋" w:hAnsi="仿宋" w:eastAsia="仿宋"/>
          <w:color w:val="auto"/>
          <w:sz w:val="32"/>
          <w:szCs w:val="32"/>
          <w:highlight w:val="none"/>
          <w:lang w:val="en-US" w:eastAsia="zh-CN"/>
        </w:rPr>
        <w:t>较2015年下降</w:t>
      </w:r>
      <w:r>
        <w:rPr>
          <w:rFonts w:hint="eastAsia" w:ascii="仿宋" w:hAnsi="仿宋" w:eastAsia="仿宋" w:cs="仿宋"/>
          <w:color w:val="auto"/>
          <w:sz w:val="32"/>
          <w:szCs w:val="32"/>
          <w:highlight w:val="none"/>
        </w:rPr>
        <w:t>27.4%</w:t>
      </w:r>
      <w:r>
        <w:rPr>
          <w:rFonts w:hint="eastAsia" w:ascii="仿宋" w:hAnsi="仿宋" w:eastAsia="仿宋"/>
          <w:color w:val="auto"/>
          <w:sz w:val="32"/>
          <w:szCs w:val="32"/>
          <w:highlight w:val="none"/>
        </w:rPr>
        <w:t>，城市细颗粒物(</w:t>
      </w:r>
      <w:r>
        <w:rPr>
          <w:rFonts w:hint="eastAsia" w:ascii="仿宋" w:hAnsi="仿宋" w:eastAsia="仿宋"/>
          <w:color w:val="auto"/>
          <w:sz w:val="32"/>
          <w:szCs w:val="32"/>
          <w:highlight w:val="none"/>
          <w:lang w:val="en-US" w:eastAsia="zh-CN"/>
        </w:rPr>
        <w:t>PM</w:t>
      </w:r>
      <w:r>
        <w:rPr>
          <w:rFonts w:hint="eastAsia" w:ascii="仿宋" w:hAnsi="仿宋" w:eastAsia="仿宋"/>
          <w:color w:val="auto"/>
          <w:sz w:val="32"/>
          <w:szCs w:val="32"/>
          <w:highlight w:val="none"/>
        </w:rPr>
        <w:t>2.5)浓度下降到4</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微克/立方米，城市空气质量优良天数比率提高到76.8%。</w:t>
      </w:r>
    </w:p>
    <w:p>
      <w:pPr>
        <w:spacing w:line="600" w:lineRule="exact"/>
        <w:ind w:firstLine="640" w:firstLineChars="200"/>
        <w:jc w:val="both"/>
        <w:rPr>
          <w:rFonts w:hint="default" w:ascii="仿宋" w:hAnsi="仿宋" w:eastAsia="仿宋"/>
          <w:color w:val="auto"/>
          <w:sz w:val="32"/>
          <w:szCs w:val="32"/>
          <w:highlight w:val="none"/>
          <w:lang w:val="en-US" w:eastAsia="zh-CN"/>
        </w:rPr>
      </w:pPr>
      <w:r>
        <w:rPr>
          <w:rFonts w:hint="eastAsia" w:ascii="楷体" w:hAnsi="楷体" w:eastAsia="楷体" w:cs="宋体"/>
          <w:color w:val="auto"/>
          <w:sz w:val="32"/>
          <w:szCs w:val="32"/>
          <w:highlight w:val="none"/>
          <w:lang w:val="en-US" w:eastAsia="zh-CN"/>
        </w:rPr>
        <w:t>碧水保卫战取得明显成效。</w:t>
      </w:r>
      <w:r>
        <w:rPr>
          <w:rFonts w:hint="eastAsia" w:ascii="仿宋" w:hAnsi="仿宋" w:eastAsia="仿宋"/>
          <w:color w:val="auto"/>
          <w:sz w:val="32"/>
          <w:szCs w:val="32"/>
          <w:highlight w:val="none"/>
          <w:lang w:val="en-US" w:eastAsia="zh-CN"/>
        </w:rPr>
        <w:t>按照“控源截污、清淤疏浚、驳岸整治、生态恢复”的指导原则和“一河一策”的治理方针，截止2020年底，化学需氧量较2015年下降42.25%、氨氮排放量较2015年下降11.74%；国、省考核断面所在河流全面实现消劣任务；浑河干流抚顺市区段水质明显好转，大伙房饮用水水源保护区监管保护能力持续增强，水质稳定保持国家Ⅱ类标准；22条黑臭水体的整治工作全部完成；地下水基础环境状况调查已完成监测井点位83个。</w:t>
      </w:r>
    </w:p>
    <w:p>
      <w:pPr>
        <w:spacing w:line="600" w:lineRule="exact"/>
        <w:ind w:firstLine="640" w:firstLineChars="200"/>
        <w:rPr>
          <w:rFonts w:hint="eastAsia" w:ascii="仿宋" w:hAnsi="仿宋" w:eastAsia="仿宋"/>
          <w:color w:val="auto"/>
          <w:sz w:val="32"/>
          <w:szCs w:val="32"/>
          <w:highlight w:val="none"/>
        </w:rPr>
      </w:pPr>
      <w:r>
        <w:rPr>
          <w:rFonts w:hint="eastAsia" w:ascii="楷体" w:hAnsi="楷体" w:eastAsia="楷体" w:cs="宋体"/>
          <w:color w:val="auto"/>
          <w:sz w:val="32"/>
          <w:szCs w:val="32"/>
          <w:highlight w:val="none"/>
          <w:lang w:val="en-US" w:eastAsia="zh-CN"/>
        </w:rPr>
        <w:t>净土保卫战初步开展。</w:t>
      </w:r>
      <w:r>
        <w:rPr>
          <w:rFonts w:hint="eastAsia" w:ascii="仿宋" w:hAnsi="仿宋" w:eastAsia="仿宋"/>
          <w:color w:val="auto"/>
          <w:sz w:val="32"/>
          <w:szCs w:val="32"/>
          <w:highlight w:val="none"/>
          <w:lang w:val="en-US" w:eastAsia="zh-CN"/>
        </w:rPr>
        <w:t>统筹开展土壤污染地块核查与空间整合工作，土壤风险筛查、纠偏和风险分级评价，对</w:t>
      </w:r>
      <w:r>
        <w:rPr>
          <w:rFonts w:hint="eastAsia" w:ascii="仿宋" w:hAnsi="仿宋" w:eastAsia="仿宋"/>
          <w:color w:val="auto"/>
          <w:sz w:val="32"/>
          <w:szCs w:val="32"/>
          <w:highlight w:val="none"/>
        </w:rPr>
        <w:t>疑似污染地块开展了采样调查、样品检测和数据分析。</w:t>
      </w:r>
    </w:p>
    <w:p>
      <w:pPr>
        <w:spacing w:line="600" w:lineRule="exact"/>
        <w:ind w:firstLine="640" w:firstLineChars="200"/>
        <w:rPr>
          <w:rFonts w:hint="eastAsia" w:ascii="仿宋" w:hAnsi="仿宋" w:eastAsia="仿宋"/>
          <w:color w:val="auto"/>
          <w:sz w:val="32"/>
          <w:szCs w:val="32"/>
          <w:highlight w:val="none"/>
        </w:rPr>
      </w:pPr>
      <w:r>
        <w:rPr>
          <w:rFonts w:hint="eastAsia" w:ascii="楷体" w:hAnsi="楷体" w:eastAsia="楷体" w:cs="宋体"/>
          <w:color w:val="auto"/>
          <w:sz w:val="32"/>
          <w:szCs w:val="32"/>
          <w:highlight w:val="none"/>
          <w:lang w:val="en-US" w:eastAsia="zh-CN"/>
        </w:rPr>
        <w:t>农村人居环境不断改善。</w:t>
      </w:r>
      <w:r>
        <w:rPr>
          <w:rFonts w:hint="eastAsia" w:ascii="仿宋" w:hAnsi="仿宋" w:eastAsia="仿宋"/>
          <w:color w:val="auto"/>
          <w:sz w:val="32"/>
          <w:szCs w:val="32"/>
          <w:highlight w:val="none"/>
        </w:rPr>
        <w:t>“千村美丽万村整洁”专项行动深入推进，生活污水处理、畜禽养殖粪污治理、生活垃圾分类减量和农药化肥减量增效等阶段性重点整治工作任务基本完成，农村综合整治和生态环境得到有效改善。</w:t>
      </w:r>
      <w:r>
        <w:rPr>
          <w:rFonts w:hint="eastAsia" w:ascii="仿宋" w:hAnsi="仿宋" w:eastAsia="仿宋"/>
          <w:color w:val="auto"/>
          <w:sz w:val="32"/>
          <w:szCs w:val="32"/>
          <w:highlight w:val="none"/>
          <w:lang w:val="en-US" w:eastAsia="zh-CN"/>
        </w:rPr>
        <w:t>截止</w:t>
      </w:r>
      <w:r>
        <w:rPr>
          <w:rFonts w:hint="eastAsia" w:ascii="仿宋" w:hAnsi="仿宋" w:eastAsia="仿宋"/>
          <w:color w:val="auto"/>
          <w:sz w:val="32"/>
          <w:szCs w:val="32"/>
          <w:highlight w:val="none"/>
        </w:rPr>
        <w:t>2020年</w:t>
      </w:r>
      <w:r>
        <w:rPr>
          <w:rFonts w:hint="eastAsia" w:ascii="仿宋" w:hAnsi="仿宋" w:eastAsia="仿宋"/>
          <w:color w:val="auto"/>
          <w:sz w:val="32"/>
          <w:szCs w:val="32"/>
          <w:highlight w:val="none"/>
          <w:lang w:val="en-US" w:eastAsia="zh-CN"/>
        </w:rPr>
        <w:t>底</w:t>
      </w:r>
      <w:r>
        <w:rPr>
          <w:rFonts w:hint="eastAsia" w:ascii="仿宋" w:hAnsi="仿宋" w:eastAsia="仿宋"/>
          <w:color w:val="auto"/>
          <w:sz w:val="32"/>
          <w:szCs w:val="32"/>
          <w:highlight w:val="none"/>
        </w:rPr>
        <w:t>，已建农村生活污水治理设施运行率达到</w:t>
      </w:r>
      <w:r>
        <w:rPr>
          <w:rFonts w:hint="eastAsia" w:ascii="仿宋" w:hAnsi="仿宋" w:eastAsia="仿宋"/>
          <w:color w:val="auto"/>
          <w:sz w:val="32"/>
          <w:szCs w:val="32"/>
          <w:highlight w:val="none"/>
          <w:lang w:val="en-US" w:eastAsia="zh-CN"/>
        </w:rPr>
        <w:t>80</w:t>
      </w:r>
      <w:r>
        <w:rPr>
          <w:rFonts w:hint="eastAsia" w:ascii="仿宋" w:hAnsi="仿宋" w:eastAsia="仿宋"/>
          <w:color w:val="auto"/>
          <w:sz w:val="32"/>
          <w:szCs w:val="32"/>
          <w:highlight w:val="none"/>
        </w:rPr>
        <w:t>%，完成98个村环境综合整治，农村生活污水治理率达到13%以上。</w:t>
      </w:r>
    </w:p>
    <w:p>
      <w:pPr>
        <w:spacing w:line="600" w:lineRule="exact"/>
        <w:ind w:firstLine="640" w:firstLineChars="200"/>
        <w:jc w:val="both"/>
        <w:rPr>
          <w:rFonts w:hint="eastAsia" w:ascii="仿宋" w:hAnsi="仿宋" w:eastAsia="仿宋"/>
          <w:color w:val="auto"/>
          <w:sz w:val="32"/>
          <w:szCs w:val="32"/>
          <w:highlight w:val="none"/>
        </w:rPr>
      </w:pPr>
      <w:r>
        <w:rPr>
          <w:rFonts w:hint="eastAsia" w:ascii="楷体" w:hAnsi="楷体" w:eastAsia="楷体" w:cs="宋体"/>
          <w:color w:val="auto"/>
          <w:sz w:val="32"/>
          <w:szCs w:val="32"/>
          <w:highlight w:val="none"/>
          <w:lang w:val="en-US" w:eastAsia="zh-CN"/>
        </w:rPr>
        <w:t>采煤影响区生态环境明显改善。</w:t>
      </w:r>
      <w:r>
        <w:rPr>
          <w:rFonts w:hint="eastAsia" w:ascii="仿宋" w:hAnsi="仿宋" w:eastAsia="仿宋"/>
          <w:color w:val="auto"/>
          <w:sz w:val="32"/>
          <w:szCs w:val="32"/>
          <w:highlight w:val="none"/>
        </w:rPr>
        <w:t>开展西露天矿及周边区域生态修复，完成矿坑生态恢复约98万平方米。组织开展11次千人以上大型义务植树，栽植各类树木200余万株，绿化生态面积达1800亩。开展矿坑周边废弃地综合治理，千台山生态恢复示范区项目、西露天矿1号观景台改造绿化等项目完成建设，青年路沿线、东林路沿线、人工河路沿线、西露天矿前铁路桥等主要道路市政设施维修全部完工。开展采煤沉陷区综合治理，完成部分采沉区土地整治，建成生态湿地公园、现代农业观光园、采沉记忆实景公园、青年路生态观光长廊等生态恢复项目。</w:t>
      </w:r>
    </w:p>
    <w:p>
      <w:pPr>
        <w:spacing w:line="600" w:lineRule="exact"/>
        <w:ind w:firstLine="640" w:firstLineChars="200"/>
        <w:rPr>
          <w:rFonts w:hint="eastAsia" w:ascii="仿宋" w:hAnsi="仿宋" w:eastAsia="仿宋"/>
          <w:color w:val="auto"/>
          <w:sz w:val="32"/>
          <w:szCs w:val="32"/>
          <w:highlight w:val="none"/>
        </w:rPr>
      </w:pPr>
      <w:r>
        <w:rPr>
          <w:rFonts w:hint="eastAsia" w:ascii="楷体" w:hAnsi="楷体" w:eastAsia="楷体" w:cs="宋体"/>
          <w:color w:val="auto"/>
          <w:sz w:val="32"/>
          <w:szCs w:val="32"/>
          <w:highlight w:val="none"/>
          <w:lang w:val="en-US" w:eastAsia="zh-CN"/>
        </w:rPr>
        <w:t>环境治理能力现代化不断提升。</w:t>
      </w:r>
      <w:r>
        <w:rPr>
          <w:rFonts w:hint="eastAsia" w:ascii="仿宋" w:hAnsi="仿宋" w:eastAsia="仿宋"/>
          <w:color w:val="auto"/>
          <w:sz w:val="32"/>
          <w:szCs w:val="32"/>
          <w:highlight w:val="none"/>
        </w:rPr>
        <w:t>重新组建抚顺市生态环境局、抚顺市生态环境保护综合行政执法队、抚顺市生态环境事务服务中心（抚顺市生态环境监测站）工作顺利完成，生态环境保护的职责更加全面和清晰，实现抚顺市监测中心站与省监测中心站的垂直管理，有效推进环境治理体系和治理能力的现代化。突发环境事件应急</w:t>
      </w:r>
      <w:r>
        <w:rPr>
          <w:rFonts w:hint="eastAsia" w:ascii="仿宋" w:hAnsi="仿宋" w:eastAsia="仿宋"/>
          <w:color w:val="auto"/>
          <w:sz w:val="32"/>
          <w:szCs w:val="32"/>
          <w:highlight w:val="none"/>
          <w:lang w:val="en-US" w:eastAsia="zh-CN"/>
        </w:rPr>
        <w:t>能力</w:t>
      </w:r>
      <w:r>
        <w:rPr>
          <w:rFonts w:hint="eastAsia" w:ascii="仿宋" w:hAnsi="仿宋" w:eastAsia="仿宋"/>
          <w:color w:val="auto"/>
          <w:sz w:val="32"/>
          <w:szCs w:val="32"/>
          <w:highlight w:val="none"/>
        </w:rPr>
        <w:t>不断</w:t>
      </w:r>
      <w:r>
        <w:rPr>
          <w:rFonts w:hint="eastAsia" w:ascii="仿宋" w:hAnsi="仿宋" w:eastAsia="仿宋"/>
          <w:color w:val="auto"/>
          <w:sz w:val="32"/>
          <w:szCs w:val="32"/>
          <w:highlight w:val="none"/>
          <w:lang w:val="en-US" w:eastAsia="zh-CN"/>
        </w:rPr>
        <w:t>提升，</w:t>
      </w:r>
      <w:r>
        <w:rPr>
          <w:rFonts w:hint="eastAsia" w:ascii="仿宋" w:hAnsi="仿宋" w:eastAsia="仿宋"/>
          <w:color w:val="auto"/>
          <w:sz w:val="32"/>
          <w:szCs w:val="32"/>
          <w:highlight w:val="none"/>
        </w:rPr>
        <w:t>与周边市环境应急联动、协调工作机制基本形成，各类突发环境事件及时有效得到安全处置。</w:t>
      </w:r>
    </w:p>
    <w:p>
      <w:pPr>
        <w:pStyle w:val="4"/>
        <w:spacing w:before="0" w:beforeAutospacing="0" w:after="0" w:afterAutospacing="0" w:line="600" w:lineRule="exact"/>
        <w:ind w:firstLine="629" w:firstLineChars="196"/>
        <w:rPr>
          <w:rFonts w:cs="仿宋" w:asciiTheme="minorEastAsia" w:hAnsiTheme="minorEastAsia" w:eastAsiaTheme="minorEastAsia"/>
          <w:bCs w:val="0"/>
          <w:color w:val="auto"/>
          <w:sz w:val="32"/>
          <w:szCs w:val="32"/>
          <w:highlight w:val="none"/>
        </w:rPr>
      </w:pPr>
      <w:bookmarkStart w:id="4" w:name="_Toc31056"/>
      <w:bookmarkStart w:id="5" w:name="_Toc10953"/>
      <w:r>
        <w:rPr>
          <w:rFonts w:hint="eastAsia" w:cs="仿宋" w:asciiTheme="minorEastAsia" w:hAnsiTheme="minorEastAsia" w:eastAsiaTheme="minorEastAsia"/>
          <w:bCs w:val="0"/>
          <w:color w:val="auto"/>
          <w:sz w:val="32"/>
          <w:szCs w:val="32"/>
          <w:highlight w:val="none"/>
        </w:rPr>
        <w:t>（</w:t>
      </w:r>
      <w:r>
        <w:rPr>
          <w:rFonts w:hint="eastAsia" w:cs="仿宋" w:asciiTheme="minorEastAsia" w:hAnsiTheme="minorEastAsia" w:eastAsiaTheme="minorEastAsia"/>
          <w:bCs w:val="0"/>
          <w:color w:val="auto"/>
          <w:sz w:val="32"/>
          <w:szCs w:val="32"/>
          <w:highlight w:val="none"/>
          <w:lang w:val="en-US" w:eastAsia="zh-CN"/>
        </w:rPr>
        <w:t>二</w:t>
      </w:r>
      <w:r>
        <w:rPr>
          <w:rFonts w:hint="eastAsia" w:cs="仿宋" w:asciiTheme="minorEastAsia" w:hAnsiTheme="minorEastAsia" w:eastAsiaTheme="minorEastAsia"/>
          <w:bCs w:val="0"/>
          <w:color w:val="auto"/>
          <w:sz w:val="32"/>
          <w:szCs w:val="32"/>
          <w:highlight w:val="none"/>
        </w:rPr>
        <w:t>）</w:t>
      </w:r>
      <w:bookmarkEnd w:id="4"/>
      <w:r>
        <w:rPr>
          <w:rFonts w:hint="eastAsia" w:cs="仿宋" w:asciiTheme="minorEastAsia" w:hAnsiTheme="minorEastAsia" w:eastAsiaTheme="minorEastAsia"/>
          <w:bCs w:val="0"/>
          <w:color w:val="auto"/>
          <w:sz w:val="32"/>
          <w:szCs w:val="32"/>
          <w:highlight w:val="none"/>
        </w:rPr>
        <w:t>面临的形势</w:t>
      </w:r>
      <w:bookmarkEnd w:id="5"/>
    </w:p>
    <w:p>
      <w:pPr>
        <w:spacing w:line="600" w:lineRule="exact"/>
        <w:ind w:firstLine="640" w:firstLineChars="200"/>
        <w:rPr>
          <w:rFonts w:hint="default" w:ascii="仿宋" w:hAnsi="仿宋" w:eastAsia="仿宋" w:cs="宋体"/>
          <w:color w:val="auto"/>
          <w:sz w:val="32"/>
          <w:szCs w:val="32"/>
          <w:highlight w:val="none"/>
          <w:lang w:val="en-US" w:eastAsia="zh-CN"/>
        </w:rPr>
      </w:pPr>
      <w:r>
        <w:rPr>
          <w:rFonts w:hint="eastAsia" w:ascii="楷体" w:hAnsi="楷体" w:eastAsia="楷体" w:cs="宋体"/>
          <w:color w:val="auto"/>
          <w:sz w:val="32"/>
          <w:szCs w:val="32"/>
          <w:highlight w:val="none"/>
        </w:rPr>
        <w:t>从机遇看：</w:t>
      </w:r>
      <w:r>
        <w:rPr>
          <w:rFonts w:hint="eastAsia" w:ascii="仿宋" w:hAnsi="仿宋" w:eastAsia="仿宋" w:cs="宋体"/>
          <w:color w:val="auto"/>
          <w:sz w:val="32"/>
          <w:szCs w:val="32"/>
          <w:highlight w:val="none"/>
        </w:rPr>
        <w:t>一是</w:t>
      </w:r>
      <w:r>
        <w:rPr>
          <w:rFonts w:ascii="仿宋" w:hAnsi="仿宋" w:eastAsia="仿宋" w:cs="宋体"/>
          <w:color w:val="auto"/>
          <w:sz w:val="32"/>
          <w:szCs w:val="32"/>
          <w:highlight w:val="none"/>
        </w:rPr>
        <w:t>习近平生态文明思想在各地逐步落地生根、开花结果，是做好新时代生态环境保护工作的最大动力和根本保障。</w:t>
      </w:r>
      <w:r>
        <w:rPr>
          <w:rFonts w:hint="eastAsia" w:ascii="仿宋" w:hAnsi="仿宋" w:eastAsia="仿宋" w:cs="宋体"/>
          <w:color w:val="auto"/>
          <w:sz w:val="32"/>
          <w:szCs w:val="32"/>
          <w:highlight w:val="none"/>
        </w:rPr>
        <w:t>二是</w:t>
      </w:r>
      <w:r>
        <w:rPr>
          <w:rFonts w:hint="eastAsia" w:ascii="仿宋" w:hAnsi="仿宋" w:eastAsia="仿宋" w:cs="宋体"/>
          <w:color w:val="auto"/>
          <w:sz w:val="32"/>
          <w:szCs w:val="32"/>
          <w:highlight w:val="none"/>
          <w:lang w:val="en-US" w:eastAsia="zh-CN"/>
        </w:rPr>
        <w:t>抚顺</w:t>
      </w:r>
      <w:r>
        <w:rPr>
          <w:rFonts w:hint="eastAsia" w:ascii="仿宋" w:hAnsi="仿宋" w:eastAsia="仿宋" w:cs="宋体"/>
          <w:color w:val="auto"/>
          <w:sz w:val="32"/>
          <w:szCs w:val="32"/>
          <w:highlight w:val="none"/>
        </w:rPr>
        <w:t>市“十四五”规划明确了生态环境质量持续改善目标，</w:t>
      </w:r>
      <w:r>
        <w:rPr>
          <w:rFonts w:ascii="仿宋" w:hAnsi="仿宋" w:eastAsia="仿宋" w:cs="宋体"/>
          <w:color w:val="auto"/>
          <w:sz w:val="32"/>
          <w:szCs w:val="32"/>
          <w:highlight w:val="none"/>
        </w:rPr>
        <w:t>随着</w:t>
      </w:r>
      <w:r>
        <w:rPr>
          <w:rFonts w:hint="eastAsia" w:ascii="仿宋" w:hAnsi="仿宋" w:eastAsia="仿宋" w:cs="宋体"/>
          <w:color w:val="auto"/>
          <w:sz w:val="32"/>
          <w:szCs w:val="32"/>
          <w:highlight w:val="none"/>
          <w:lang w:eastAsia="zh-CN"/>
        </w:rPr>
        <w:t>美丽抚顺</w:t>
      </w:r>
      <w:r>
        <w:rPr>
          <w:rFonts w:ascii="仿宋" w:hAnsi="仿宋" w:eastAsia="仿宋" w:cs="宋体"/>
          <w:color w:val="auto"/>
          <w:sz w:val="32"/>
          <w:szCs w:val="32"/>
          <w:highlight w:val="none"/>
        </w:rPr>
        <w:t>高质量发展</w:t>
      </w:r>
      <w:r>
        <w:rPr>
          <w:rFonts w:hint="eastAsia" w:ascii="仿宋" w:hAnsi="仿宋" w:eastAsia="仿宋" w:cs="宋体"/>
          <w:color w:val="auto"/>
          <w:sz w:val="32"/>
          <w:szCs w:val="32"/>
          <w:highlight w:val="none"/>
        </w:rPr>
        <w:t>的</w:t>
      </w:r>
      <w:r>
        <w:rPr>
          <w:rFonts w:ascii="仿宋" w:hAnsi="仿宋" w:eastAsia="仿宋" w:cs="宋体"/>
          <w:color w:val="auto"/>
          <w:sz w:val="32"/>
          <w:szCs w:val="32"/>
          <w:highlight w:val="none"/>
        </w:rPr>
        <w:t>深入推进，新发展格局加快形成，为进一步推进绿色转型带来新机遇。</w:t>
      </w:r>
      <w:r>
        <w:rPr>
          <w:rFonts w:hint="eastAsia" w:ascii="仿宋" w:hAnsi="仿宋" w:eastAsia="仿宋" w:cs="宋体"/>
          <w:color w:val="auto"/>
          <w:sz w:val="32"/>
          <w:szCs w:val="32"/>
          <w:highlight w:val="none"/>
        </w:rPr>
        <w:t>三是</w:t>
      </w:r>
      <w:r>
        <w:rPr>
          <w:rFonts w:ascii="仿宋" w:hAnsi="仿宋" w:eastAsia="仿宋" w:cs="宋体"/>
          <w:color w:val="auto"/>
          <w:sz w:val="32"/>
          <w:szCs w:val="32"/>
          <w:highlight w:val="none"/>
        </w:rPr>
        <w:t>生态环境保护“四梁八柱”性质的制度体系基本形成，相关改革举措逐步落地见效，综合效能进一步发挥，生态环境制度保障更加全面、更加有力。</w:t>
      </w:r>
      <w:r>
        <w:rPr>
          <w:rFonts w:hint="eastAsia" w:ascii="仿宋" w:hAnsi="仿宋" w:eastAsia="仿宋" w:cs="宋体"/>
          <w:color w:val="auto"/>
          <w:sz w:val="32"/>
          <w:szCs w:val="32"/>
          <w:highlight w:val="none"/>
          <w:lang w:val="en-US" w:eastAsia="zh-CN"/>
        </w:rPr>
        <w:t>四是打造辽东绿色经济区将夯实绿色发展生态基础，为协同探索推进生态优先、绿色发展带来新路径。</w:t>
      </w:r>
    </w:p>
    <w:p>
      <w:pPr>
        <w:spacing w:line="600" w:lineRule="exact"/>
        <w:ind w:firstLine="640" w:firstLineChars="200"/>
        <w:jc w:val="both"/>
        <w:rPr>
          <w:rFonts w:ascii="仿宋" w:hAnsi="仿宋" w:eastAsia="仿宋" w:cs="仿宋"/>
          <w:color w:val="auto"/>
          <w:sz w:val="32"/>
          <w:szCs w:val="32"/>
          <w:highlight w:val="none"/>
          <w:lang w:val="zh-TW" w:eastAsia="zh-TW"/>
        </w:rPr>
      </w:pPr>
      <w:r>
        <w:rPr>
          <w:rFonts w:hint="eastAsia" w:ascii="楷体" w:hAnsi="楷体" w:eastAsia="楷体" w:cs="宋体"/>
          <w:color w:val="auto"/>
          <w:sz w:val="32"/>
          <w:szCs w:val="32"/>
          <w:highlight w:val="none"/>
        </w:rPr>
        <w:t>从挑战看：</w:t>
      </w:r>
      <w:r>
        <w:rPr>
          <w:rFonts w:hint="eastAsia" w:ascii="仿宋" w:hAnsi="仿宋" w:eastAsia="仿宋" w:cs="仿宋"/>
          <w:color w:val="auto"/>
          <w:sz w:val="32"/>
          <w:szCs w:val="32"/>
          <w:highlight w:val="none"/>
          <w:lang w:val="zh-TW" w:eastAsia="zh-TW"/>
        </w:rPr>
        <w:t>一是我市</w:t>
      </w:r>
      <w:r>
        <w:rPr>
          <w:rFonts w:ascii="仿宋" w:hAnsi="仿宋" w:eastAsia="仿宋" w:cs="仿宋"/>
          <w:color w:val="auto"/>
          <w:sz w:val="32"/>
          <w:szCs w:val="32"/>
          <w:highlight w:val="none"/>
          <w:lang w:val="zh-TW" w:eastAsia="zh-TW"/>
        </w:rPr>
        <w:t>生态环境形势依然严峻，生态环境保护结构性、根源性、趋势性压力总体上仍处于高位，最突出的是产业结构、能源结构、运输结构没有根本改变，资源环境承载能力已经达到或者接近上限的状况没有根本改变，生态环境事件多发频发的高风险态势没有根本改变。</w:t>
      </w:r>
      <w:r>
        <w:rPr>
          <w:rFonts w:hint="eastAsia" w:ascii="仿宋" w:hAnsi="仿宋" w:eastAsia="仿宋" w:cs="仿宋"/>
          <w:color w:val="auto"/>
          <w:sz w:val="32"/>
          <w:szCs w:val="32"/>
          <w:highlight w:val="none"/>
          <w:lang w:val="zh-TW" w:eastAsia="zh-TW"/>
        </w:rPr>
        <w:t>二是我市以燃煤为主的能源结构尚未根本性转变，石化、钢铁、装备制造业、煤炭开采等重点行业</w:t>
      </w:r>
      <w:r>
        <w:rPr>
          <w:rFonts w:hint="eastAsia" w:ascii="仿宋" w:hAnsi="仿宋" w:eastAsia="仿宋" w:cs="仿宋"/>
          <w:color w:val="auto"/>
          <w:sz w:val="32"/>
          <w:szCs w:val="32"/>
          <w:highlight w:val="none"/>
        </w:rPr>
        <w:t>迫切</w:t>
      </w:r>
      <w:r>
        <w:rPr>
          <w:rFonts w:hint="eastAsia" w:ascii="仿宋" w:hAnsi="仿宋" w:eastAsia="仿宋" w:cs="仿宋"/>
          <w:color w:val="auto"/>
          <w:sz w:val="32"/>
          <w:szCs w:val="32"/>
          <w:highlight w:val="none"/>
          <w:lang w:val="zh-TW" w:eastAsia="zh-TW"/>
        </w:rPr>
        <w:t>需要绿色转型</w:t>
      </w:r>
      <w:r>
        <w:rPr>
          <w:rFonts w:hint="eastAsia" w:ascii="仿宋" w:hAnsi="仿宋" w:eastAsia="仿宋" w:cs="仿宋"/>
          <w:color w:val="auto"/>
          <w:sz w:val="32"/>
          <w:szCs w:val="32"/>
          <w:highlight w:val="none"/>
          <w:lang w:val="zh-TW"/>
        </w:rPr>
        <w:t>，完成</w:t>
      </w:r>
      <w:r>
        <w:rPr>
          <w:rFonts w:hint="eastAsia" w:ascii="仿宋" w:hAnsi="仿宋" w:eastAsia="仿宋" w:cs="仿宋"/>
          <w:color w:val="auto"/>
          <w:sz w:val="32"/>
          <w:szCs w:val="32"/>
          <w:highlight w:val="none"/>
        </w:rPr>
        <w:t>碳达峰目标、碳中和愿景压力明显加大。三是污染防治攻坚战从“十三五”的“坚决打好”到“十四五”的“深入打好”，意味着污染防治攻坚战触及的矛盾问题层次更深、领域更广，对污染防治工作和生态环境质量改善的要求也更高。生态环境领域依然存在困难和问题，污染防治工作</w:t>
      </w:r>
      <w:r>
        <w:rPr>
          <w:rFonts w:hint="eastAsia" w:ascii="仿宋" w:hAnsi="仿宋" w:eastAsia="仿宋" w:cs="仿宋"/>
          <w:color w:val="auto"/>
          <w:sz w:val="32"/>
          <w:szCs w:val="32"/>
          <w:highlight w:val="none"/>
          <w:lang w:val="en-US" w:eastAsia="zh-CN"/>
        </w:rPr>
        <w:t>依然</w:t>
      </w:r>
      <w:r>
        <w:rPr>
          <w:rFonts w:hint="eastAsia" w:ascii="仿宋" w:hAnsi="仿宋" w:eastAsia="仿宋" w:cs="仿宋"/>
          <w:color w:val="auto"/>
          <w:sz w:val="32"/>
          <w:szCs w:val="32"/>
          <w:highlight w:val="none"/>
        </w:rPr>
        <w:t>存在不足和短板，加强生态环境保护、促进经济社会发展全面绿色转型的</w:t>
      </w:r>
      <w:r>
        <w:rPr>
          <w:rFonts w:hint="eastAsia" w:ascii="仿宋" w:hAnsi="仿宋" w:eastAsia="仿宋" w:cs="仿宋"/>
          <w:color w:val="auto"/>
          <w:sz w:val="32"/>
          <w:szCs w:val="32"/>
          <w:highlight w:val="none"/>
          <w:lang w:val="en-US" w:eastAsia="zh-CN"/>
        </w:rPr>
        <w:t>面临着</w:t>
      </w:r>
      <w:r>
        <w:rPr>
          <w:rFonts w:hint="eastAsia" w:ascii="仿宋" w:hAnsi="仿宋" w:eastAsia="仿宋" w:cs="仿宋"/>
          <w:color w:val="auto"/>
          <w:sz w:val="32"/>
          <w:szCs w:val="32"/>
          <w:highlight w:val="none"/>
        </w:rPr>
        <w:t>严峻挑战</w:t>
      </w:r>
      <w:r>
        <w:rPr>
          <w:rFonts w:hint="eastAsia" w:ascii="仿宋" w:hAnsi="仿宋" w:eastAsia="仿宋"/>
          <w:color w:val="auto"/>
          <w:sz w:val="32"/>
          <w:szCs w:val="32"/>
          <w:highlight w:val="none"/>
        </w:rPr>
        <w:t>。四是</w:t>
      </w:r>
      <w:r>
        <w:rPr>
          <w:rFonts w:hint="eastAsia" w:ascii="仿宋" w:hAnsi="仿宋" w:eastAsia="仿宋" w:cs="仿宋"/>
          <w:color w:val="auto"/>
          <w:sz w:val="32"/>
          <w:szCs w:val="32"/>
          <w:highlight w:val="none"/>
          <w:lang w:val="zh-TW" w:eastAsia="zh-TW"/>
        </w:rPr>
        <w:t>面对更高环境质量和人居环境需求，需要不断推升生态环境治理能力，构建完善的生态环境治理体系，不断提升污染治理、风险监控、环境科研、政策制度、环境管理等多方面能力水平，</w:t>
      </w:r>
      <w:r>
        <w:rPr>
          <w:rFonts w:hint="eastAsia" w:ascii="仿宋" w:hAnsi="仿宋" w:eastAsia="仿宋" w:cs="仿宋"/>
          <w:color w:val="auto"/>
          <w:sz w:val="32"/>
          <w:szCs w:val="32"/>
          <w:highlight w:val="none"/>
          <w:lang w:val="zh-TW"/>
        </w:rPr>
        <w:t>提升生态环境治理能力和完善治理体系任务</w:t>
      </w:r>
      <w:r>
        <w:rPr>
          <w:rFonts w:hint="eastAsia" w:ascii="仿宋" w:hAnsi="仿宋" w:eastAsia="仿宋" w:cs="仿宋"/>
          <w:color w:val="auto"/>
          <w:sz w:val="32"/>
          <w:szCs w:val="32"/>
          <w:highlight w:val="none"/>
        </w:rPr>
        <w:t>更加繁重</w:t>
      </w:r>
      <w:r>
        <w:rPr>
          <w:rFonts w:hint="eastAsia" w:ascii="仿宋" w:hAnsi="仿宋" w:eastAsia="仿宋" w:cs="仿宋"/>
          <w:color w:val="auto"/>
          <w:sz w:val="32"/>
          <w:szCs w:val="32"/>
          <w:highlight w:val="none"/>
          <w:lang w:val="zh-TW" w:eastAsia="zh-TW"/>
        </w:rPr>
        <w:t>。</w:t>
      </w:r>
    </w:p>
    <w:p>
      <w:pPr>
        <w:pStyle w:val="3"/>
        <w:spacing w:beforeAutospacing="0" w:afterAutospacing="0" w:line="800" w:lineRule="exact"/>
        <w:ind w:firstLine="629" w:firstLineChars="196"/>
        <w:jc w:val="left"/>
        <w:rPr>
          <w:rFonts w:hint="default" w:cs="仿宋" w:asciiTheme="minorEastAsia" w:hAnsiTheme="minorEastAsia" w:eastAsiaTheme="minorEastAsia"/>
          <w:color w:val="auto"/>
          <w:sz w:val="32"/>
          <w:szCs w:val="32"/>
          <w:highlight w:val="none"/>
        </w:rPr>
      </w:pPr>
      <w:bookmarkStart w:id="6" w:name="_Toc28498"/>
      <w:bookmarkStart w:id="7" w:name="_Toc18605"/>
      <w:r>
        <w:rPr>
          <w:rFonts w:hint="eastAsia" w:cs="仿宋" w:asciiTheme="minorEastAsia" w:hAnsiTheme="minorEastAsia" w:eastAsiaTheme="minorEastAsia"/>
          <w:color w:val="auto"/>
          <w:sz w:val="32"/>
          <w:szCs w:val="32"/>
          <w:highlight w:val="none"/>
          <w:lang w:val="en-US" w:eastAsia="zh-CN"/>
        </w:rPr>
        <w:t>二</w:t>
      </w:r>
      <w:r>
        <w:rPr>
          <w:rFonts w:cs="仿宋" w:asciiTheme="minorEastAsia" w:hAnsiTheme="minorEastAsia" w:eastAsiaTheme="minorEastAsia"/>
          <w:color w:val="auto"/>
          <w:sz w:val="32"/>
          <w:szCs w:val="32"/>
          <w:highlight w:val="none"/>
        </w:rPr>
        <w:t>、“十四五”生态环境保护总体要求</w:t>
      </w:r>
      <w:bookmarkEnd w:id="6"/>
    </w:p>
    <w:p>
      <w:pPr>
        <w:pStyle w:val="4"/>
        <w:spacing w:before="0" w:beforeAutospacing="0" w:after="0" w:afterAutospacing="0" w:line="600" w:lineRule="exact"/>
        <w:ind w:firstLine="629" w:firstLineChars="196"/>
        <w:rPr>
          <w:rFonts w:cs="仿宋" w:asciiTheme="minorEastAsia" w:hAnsiTheme="minorEastAsia" w:eastAsiaTheme="minorEastAsia"/>
          <w:bCs w:val="0"/>
          <w:color w:val="auto"/>
          <w:sz w:val="32"/>
          <w:szCs w:val="32"/>
          <w:highlight w:val="none"/>
        </w:rPr>
      </w:pPr>
      <w:bookmarkStart w:id="8" w:name="_Toc20763"/>
      <w:r>
        <w:rPr>
          <w:rFonts w:hint="eastAsia" w:cs="仿宋" w:asciiTheme="minorEastAsia" w:hAnsiTheme="minorEastAsia" w:eastAsiaTheme="minorEastAsia"/>
          <w:bCs w:val="0"/>
          <w:color w:val="auto"/>
          <w:sz w:val="32"/>
          <w:szCs w:val="32"/>
          <w:highlight w:val="none"/>
        </w:rPr>
        <w:t>（一）指导思想</w:t>
      </w:r>
      <w:bookmarkEnd w:id="7"/>
      <w:bookmarkEnd w:id="8"/>
    </w:p>
    <w:p>
      <w:pPr>
        <w:spacing w:line="60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以习近平新时代中国特色社会主义思想为指导，全面贯彻党的十九大和十九届</w:t>
      </w:r>
      <w:r>
        <w:rPr>
          <w:rFonts w:hint="eastAsia" w:ascii="仿宋" w:hAnsi="仿宋" w:eastAsia="仿宋"/>
          <w:color w:val="auto"/>
          <w:sz w:val="32"/>
          <w:szCs w:val="32"/>
          <w:highlight w:val="none"/>
          <w:lang w:val="en-US" w:eastAsia="zh-CN"/>
        </w:rPr>
        <w:t>历次</w:t>
      </w:r>
      <w:r>
        <w:rPr>
          <w:rFonts w:hint="eastAsia" w:ascii="仿宋" w:hAnsi="仿宋" w:eastAsia="仿宋"/>
          <w:color w:val="auto"/>
          <w:sz w:val="32"/>
          <w:szCs w:val="32"/>
          <w:highlight w:val="none"/>
        </w:rPr>
        <w:t>全会精神，深入贯彻习近平生态文明思想，以及习近平总书记在东北、辽宁、抚顺考察时重要讲话精神，统筹推进“五位一体”总体布局，协调推进“四个全面”战略布局，以绿色发展为主线布局产业优化和结构调整，</w:t>
      </w:r>
      <w:r>
        <w:rPr>
          <w:rFonts w:ascii="仿宋" w:hAnsi="仿宋" w:eastAsia="仿宋"/>
          <w:color w:val="auto"/>
          <w:sz w:val="32"/>
          <w:szCs w:val="32"/>
          <w:highlight w:val="none"/>
        </w:rPr>
        <w:t>以能源绿色低碳发展为关键</w:t>
      </w:r>
      <w:r>
        <w:rPr>
          <w:rFonts w:hint="eastAsia" w:ascii="仿宋" w:hAnsi="仿宋" w:eastAsia="仿宋"/>
          <w:color w:val="auto"/>
          <w:sz w:val="32"/>
          <w:szCs w:val="32"/>
          <w:highlight w:val="none"/>
        </w:rPr>
        <w:t>落实</w:t>
      </w:r>
      <w:r>
        <w:rPr>
          <w:rFonts w:ascii="仿宋" w:hAnsi="仿宋" w:eastAsia="仿宋"/>
          <w:color w:val="auto"/>
          <w:sz w:val="32"/>
          <w:szCs w:val="32"/>
          <w:highlight w:val="none"/>
        </w:rPr>
        <w:t>重点行业领域减污降碳行动，</w:t>
      </w:r>
      <w:r>
        <w:rPr>
          <w:rFonts w:hint="eastAsia" w:ascii="仿宋" w:hAnsi="仿宋" w:eastAsia="仿宋"/>
          <w:color w:val="auto"/>
          <w:sz w:val="32"/>
          <w:szCs w:val="32"/>
          <w:highlight w:val="none"/>
        </w:rPr>
        <w:t>加快形成节约资源和保护环境的空间格局、产业结构、生产方式、生活方式，不断增强生态环境质量改善的内生动力，持续改善生态环境质量，协同推进经济高质量发展、人民生活高品质提升、生态环境高水平保护，为</w:t>
      </w:r>
      <w:r>
        <w:rPr>
          <w:rFonts w:hint="eastAsia" w:ascii="仿宋" w:hAnsi="仿宋" w:eastAsia="仿宋"/>
          <w:color w:val="auto"/>
          <w:sz w:val="32"/>
          <w:szCs w:val="32"/>
          <w:highlight w:val="none"/>
          <w:lang w:eastAsia="zh-CN"/>
        </w:rPr>
        <w:t>美丽抚顺</w:t>
      </w:r>
      <w:r>
        <w:rPr>
          <w:rFonts w:hint="eastAsia" w:ascii="仿宋" w:hAnsi="仿宋" w:eastAsia="仿宋"/>
          <w:color w:val="auto"/>
          <w:sz w:val="32"/>
          <w:szCs w:val="32"/>
          <w:highlight w:val="none"/>
        </w:rPr>
        <w:t>建设起好步开好局，为全面开启社会主义现代化建设新征程奠定生态环境基础。</w:t>
      </w:r>
      <w:bookmarkStart w:id="9" w:name="_Toc11160"/>
    </w:p>
    <w:p>
      <w:pPr>
        <w:pStyle w:val="4"/>
        <w:spacing w:before="0" w:beforeAutospacing="0" w:after="0" w:afterAutospacing="0" w:line="600" w:lineRule="exact"/>
        <w:ind w:firstLine="642" w:firstLineChars="200"/>
        <w:rPr>
          <w:rFonts w:cs="仿宋" w:asciiTheme="minorEastAsia" w:hAnsiTheme="minorEastAsia" w:eastAsiaTheme="minorEastAsia"/>
          <w:bCs w:val="0"/>
          <w:color w:val="auto"/>
          <w:sz w:val="32"/>
          <w:szCs w:val="32"/>
          <w:highlight w:val="none"/>
        </w:rPr>
      </w:pPr>
      <w:bookmarkStart w:id="10" w:name="_Toc2952"/>
      <w:r>
        <w:rPr>
          <w:rFonts w:hint="eastAsia" w:cs="仿宋" w:asciiTheme="minorEastAsia" w:hAnsiTheme="minorEastAsia" w:eastAsiaTheme="minorEastAsia"/>
          <w:bCs w:val="0"/>
          <w:color w:val="auto"/>
          <w:sz w:val="32"/>
          <w:szCs w:val="32"/>
          <w:highlight w:val="none"/>
        </w:rPr>
        <w:t>（二）遵循原则</w:t>
      </w:r>
      <w:bookmarkEnd w:id="9"/>
      <w:bookmarkEnd w:id="10"/>
    </w:p>
    <w:p>
      <w:pPr>
        <w:spacing w:line="600" w:lineRule="exact"/>
        <w:ind w:firstLine="640" w:firstLineChars="200"/>
        <w:rPr>
          <w:rFonts w:ascii="仿宋" w:hAnsi="仿宋" w:eastAsia="仿宋"/>
          <w:color w:val="auto"/>
          <w:sz w:val="32"/>
          <w:szCs w:val="32"/>
          <w:highlight w:val="none"/>
        </w:rPr>
      </w:pPr>
      <w:r>
        <w:rPr>
          <w:rFonts w:hint="eastAsia" w:ascii="楷体" w:hAnsi="楷体" w:eastAsia="楷体"/>
          <w:bCs/>
          <w:color w:val="auto"/>
          <w:sz w:val="32"/>
          <w:szCs w:val="32"/>
          <w:highlight w:val="none"/>
        </w:rPr>
        <w:t>1</w:t>
      </w:r>
      <w:r>
        <w:rPr>
          <w:rFonts w:hint="eastAsia" w:ascii="楷体" w:hAnsi="楷体" w:eastAsia="楷体"/>
          <w:b/>
          <w:bCs/>
          <w:color w:val="auto"/>
          <w:sz w:val="32"/>
          <w:szCs w:val="32"/>
          <w:highlight w:val="none"/>
        </w:rPr>
        <w:t>.</w:t>
      </w:r>
      <w:r>
        <w:rPr>
          <w:rFonts w:hint="eastAsia" w:ascii="楷体" w:hAnsi="楷体" w:eastAsia="楷体"/>
          <w:bCs/>
          <w:color w:val="auto"/>
          <w:sz w:val="32"/>
          <w:szCs w:val="32"/>
          <w:highlight w:val="none"/>
        </w:rPr>
        <w:t>坚持保护优先，推动绿色发展。</w:t>
      </w:r>
      <w:r>
        <w:rPr>
          <w:rFonts w:hint="eastAsia" w:ascii="仿宋" w:hAnsi="仿宋" w:eastAsia="仿宋"/>
          <w:color w:val="auto"/>
          <w:sz w:val="32"/>
          <w:szCs w:val="32"/>
          <w:highlight w:val="none"/>
        </w:rPr>
        <w:t>坚持绿水青山就是金山银山理念，深入实施可持续发展战略，加快推动绿色低碳发展，推动经济社会发展全面绿色转型。</w:t>
      </w:r>
    </w:p>
    <w:p>
      <w:pPr>
        <w:spacing w:line="600" w:lineRule="exact"/>
        <w:ind w:firstLine="640" w:firstLineChars="200"/>
        <w:rPr>
          <w:rFonts w:ascii="仿宋" w:hAnsi="仿宋" w:eastAsia="仿宋"/>
          <w:color w:val="auto"/>
          <w:sz w:val="32"/>
          <w:szCs w:val="32"/>
          <w:highlight w:val="none"/>
        </w:rPr>
      </w:pPr>
      <w:r>
        <w:rPr>
          <w:rFonts w:hint="eastAsia" w:ascii="楷体" w:hAnsi="楷体" w:eastAsia="楷体"/>
          <w:bCs/>
          <w:color w:val="auto"/>
          <w:sz w:val="32"/>
          <w:szCs w:val="32"/>
          <w:highlight w:val="none"/>
        </w:rPr>
        <w:t>2</w:t>
      </w:r>
      <w:r>
        <w:rPr>
          <w:rFonts w:hint="eastAsia" w:ascii="楷体" w:hAnsi="楷体" w:eastAsia="楷体"/>
          <w:b/>
          <w:bCs/>
          <w:color w:val="auto"/>
          <w:sz w:val="32"/>
          <w:szCs w:val="32"/>
          <w:highlight w:val="none"/>
        </w:rPr>
        <w:t>.</w:t>
      </w:r>
      <w:r>
        <w:rPr>
          <w:rFonts w:hint="eastAsia" w:ascii="楷体" w:hAnsi="楷体" w:eastAsia="楷体"/>
          <w:bCs/>
          <w:color w:val="auto"/>
          <w:sz w:val="32"/>
          <w:szCs w:val="32"/>
          <w:highlight w:val="none"/>
        </w:rPr>
        <w:t>强化问题导向，改善环境质量。</w:t>
      </w:r>
      <w:r>
        <w:rPr>
          <w:rFonts w:hint="eastAsia" w:ascii="仿宋" w:hAnsi="仿宋" w:eastAsia="仿宋"/>
          <w:color w:val="auto"/>
          <w:sz w:val="32"/>
          <w:szCs w:val="32"/>
          <w:highlight w:val="none"/>
        </w:rPr>
        <w:t>以改善生态环境质量为核心，针对流域、区域、行业特点，聚焦问题、分类施策、精准发力，环境治理不断取得新成效，让人民群众有更多获得感和幸福感。</w:t>
      </w:r>
    </w:p>
    <w:p>
      <w:pPr>
        <w:spacing w:line="600" w:lineRule="exact"/>
        <w:ind w:firstLine="640" w:firstLineChars="200"/>
        <w:rPr>
          <w:rFonts w:ascii="仿宋" w:hAnsi="仿宋" w:eastAsia="仿宋"/>
          <w:color w:val="auto"/>
          <w:sz w:val="32"/>
          <w:szCs w:val="32"/>
          <w:highlight w:val="none"/>
        </w:rPr>
      </w:pPr>
      <w:r>
        <w:rPr>
          <w:rFonts w:hint="eastAsia" w:ascii="楷体" w:hAnsi="楷体" w:eastAsia="楷体"/>
          <w:bCs/>
          <w:color w:val="auto"/>
          <w:sz w:val="32"/>
          <w:szCs w:val="32"/>
          <w:highlight w:val="none"/>
        </w:rPr>
        <w:t>3</w:t>
      </w:r>
      <w:r>
        <w:rPr>
          <w:rFonts w:hint="eastAsia" w:ascii="楷体" w:hAnsi="楷体" w:eastAsia="楷体"/>
          <w:b/>
          <w:bCs/>
          <w:color w:val="auto"/>
          <w:sz w:val="32"/>
          <w:szCs w:val="32"/>
          <w:highlight w:val="none"/>
        </w:rPr>
        <w:t>.</w:t>
      </w:r>
      <w:r>
        <w:rPr>
          <w:rFonts w:hint="eastAsia" w:ascii="楷体" w:hAnsi="楷体" w:eastAsia="楷体"/>
          <w:bCs/>
          <w:color w:val="auto"/>
          <w:sz w:val="32"/>
          <w:szCs w:val="32"/>
          <w:highlight w:val="none"/>
        </w:rPr>
        <w:t>突出改革创新，提升保护水平。</w:t>
      </w:r>
      <w:r>
        <w:rPr>
          <w:rFonts w:hint="eastAsia" w:ascii="仿宋" w:hAnsi="仿宋" w:eastAsia="仿宋"/>
          <w:color w:val="auto"/>
          <w:sz w:val="32"/>
          <w:szCs w:val="32"/>
          <w:highlight w:val="none"/>
        </w:rPr>
        <w:t>深化生态环境保护体制机制改革，统筹兼顾、系统谋划，强化协调、整合力量，区域协作、条块结合，严格环境标准，完善经济政策，增强科技支撑和能力保障，不断提升环境保护和污染防治的系统性、整体性、协同性。</w:t>
      </w:r>
    </w:p>
    <w:p>
      <w:pPr>
        <w:spacing w:line="600" w:lineRule="exact"/>
        <w:ind w:firstLine="640" w:firstLineChars="200"/>
        <w:rPr>
          <w:rFonts w:ascii="仿宋" w:hAnsi="仿宋" w:eastAsia="仿宋"/>
          <w:color w:val="auto"/>
          <w:sz w:val="32"/>
          <w:szCs w:val="32"/>
          <w:highlight w:val="none"/>
        </w:rPr>
      </w:pPr>
      <w:r>
        <w:rPr>
          <w:rFonts w:hint="eastAsia" w:ascii="楷体" w:hAnsi="楷体" w:eastAsia="楷体"/>
          <w:bCs/>
          <w:color w:val="auto"/>
          <w:sz w:val="32"/>
          <w:szCs w:val="32"/>
          <w:highlight w:val="none"/>
        </w:rPr>
        <w:t>4</w:t>
      </w:r>
      <w:r>
        <w:rPr>
          <w:rFonts w:hint="eastAsia" w:ascii="楷体" w:hAnsi="楷体" w:eastAsia="楷体"/>
          <w:b/>
          <w:bCs/>
          <w:color w:val="auto"/>
          <w:sz w:val="32"/>
          <w:szCs w:val="32"/>
          <w:highlight w:val="none"/>
        </w:rPr>
        <w:t>.</w:t>
      </w:r>
      <w:r>
        <w:rPr>
          <w:rFonts w:hint="eastAsia" w:ascii="楷体" w:hAnsi="楷体" w:eastAsia="楷体"/>
          <w:bCs/>
          <w:color w:val="auto"/>
          <w:sz w:val="32"/>
          <w:szCs w:val="32"/>
          <w:highlight w:val="none"/>
        </w:rPr>
        <w:t>注重建管结合，突出依法严管。</w:t>
      </w:r>
      <w:r>
        <w:rPr>
          <w:rFonts w:hint="eastAsia" w:ascii="仿宋" w:hAnsi="仿宋" w:eastAsia="仿宋"/>
          <w:color w:val="auto"/>
          <w:sz w:val="32"/>
          <w:szCs w:val="32"/>
          <w:highlight w:val="none"/>
        </w:rPr>
        <w:t>加大监管执法力度，健全生态环境保护行政执法与刑事司法衔接机制，依法严惩重罚生态环境违法行为。</w:t>
      </w:r>
    </w:p>
    <w:p>
      <w:pPr>
        <w:spacing w:line="600" w:lineRule="exact"/>
        <w:ind w:firstLine="640" w:firstLineChars="200"/>
        <w:rPr>
          <w:rFonts w:ascii="仿宋" w:hAnsi="仿宋" w:eastAsia="仿宋"/>
          <w:color w:val="auto"/>
          <w:sz w:val="32"/>
          <w:szCs w:val="32"/>
          <w:highlight w:val="none"/>
        </w:rPr>
      </w:pPr>
      <w:r>
        <w:rPr>
          <w:rFonts w:hint="eastAsia" w:ascii="楷体" w:hAnsi="楷体" w:eastAsia="楷体"/>
          <w:bCs/>
          <w:color w:val="auto"/>
          <w:sz w:val="32"/>
          <w:szCs w:val="32"/>
          <w:highlight w:val="none"/>
        </w:rPr>
        <w:t>5</w:t>
      </w:r>
      <w:r>
        <w:rPr>
          <w:rFonts w:hint="eastAsia" w:ascii="楷体" w:hAnsi="楷体" w:eastAsia="楷体"/>
          <w:b/>
          <w:bCs/>
          <w:color w:val="auto"/>
          <w:sz w:val="32"/>
          <w:szCs w:val="32"/>
          <w:highlight w:val="none"/>
        </w:rPr>
        <w:t>.</w:t>
      </w:r>
      <w:r>
        <w:rPr>
          <w:rFonts w:hint="eastAsia" w:ascii="楷体" w:hAnsi="楷体" w:eastAsia="楷体"/>
          <w:bCs/>
          <w:color w:val="auto"/>
          <w:sz w:val="32"/>
          <w:szCs w:val="32"/>
          <w:highlight w:val="none"/>
        </w:rPr>
        <w:t>推进全民共治，开展全民行动。</w:t>
      </w:r>
      <w:r>
        <w:rPr>
          <w:rFonts w:hint="eastAsia" w:ascii="仿宋" w:hAnsi="仿宋" w:eastAsia="仿宋"/>
          <w:color w:val="auto"/>
          <w:sz w:val="32"/>
          <w:szCs w:val="32"/>
          <w:highlight w:val="none"/>
        </w:rPr>
        <w:t>加强生态文化建设，政府、企业、公众各尽其责、共同发力，政府积极发挥主导作用，企业主动承担环境治理主体责任，公众自觉践行绿色生活。</w:t>
      </w:r>
    </w:p>
    <w:p>
      <w:pPr>
        <w:pStyle w:val="4"/>
        <w:spacing w:before="0" w:beforeAutospacing="0" w:after="0" w:afterAutospacing="0" w:line="800" w:lineRule="exact"/>
        <w:ind w:firstLine="642" w:firstLineChars="200"/>
        <w:rPr>
          <w:rFonts w:cs="仿宋" w:asciiTheme="minorEastAsia" w:hAnsiTheme="minorEastAsia" w:eastAsiaTheme="minorEastAsia"/>
          <w:bCs w:val="0"/>
          <w:color w:val="auto"/>
          <w:sz w:val="32"/>
          <w:szCs w:val="32"/>
          <w:highlight w:val="none"/>
        </w:rPr>
      </w:pPr>
      <w:bookmarkStart w:id="11" w:name="_Toc19494"/>
      <w:bookmarkStart w:id="12" w:name="_Toc13081"/>
      <w:r>
        <w:rPr>
          <w:rFonts w:hint="eastAsia" w:cs="仿宋" w:asciiTheme="minorEastAsia" w:hAnsiTheme="minorEastAsia" w:eastAsiaTheme="minorEastAsia"/>
          <w:bCs w:val="0"/>
          <w:color w:val="auto"/>
          <w:sz w:val="32"/>
          <w:szCs w:val="32"/>
          <w:highlight w:val="none"/>
        </w:rPr>
        <w:t>（三）规划目标</w:t>
      </w:r>
      <w:bookmarkEnd w:id="11"/>
      <w:bookmarkEnd w:id="12"/>
    </w:p>
    <w:p>
      <w:pPr>
        <w:spacing w:line="600" w:lineRule="exact"/>
        <w:ind w:firstLine="640" w:firstLineChars="200"/>
        <w:rPr>
          <w:rFonts w:hint="eastAsia" w:ascii="仿宋" w:hAnsi="仿宋" w:eastAsia="仿宋" w:cs="仿宋"/>
          <w:color w:val="auto"/>
          <w:sz w:val="32"/>
          <w:szCs w:val="32"/>
          <w:highlight w:val="none"/>
          <w:lang w:eastAsia="zh-CN"/>
        </w:rPr>
      </w:pPr>
      <w:r>
        <w:rPr>
          <w:rFonts w:hint="eastAsia" w:ascii="楷体" w:hAnsi="楷体" w:eastAsia="楷体"/>
          <w:color w:val="auto"/>
          <w:sz w:val="32"/>
          <w:szCs w:val="32"/>
          <w:highlight w:val="none"/>
        </w:rPr>
        <w:t>1.2035</w:t>
      </w:r>
      <w:r>
        <w:rPr>
          <w:rFonts w:hint="eastAsia" w:ascii="楷体" w:hAnsi="楷体" w:eastAsia="楷体" w:cs="仿宋"/>
          <w:color w:val="auto"/>
          <w:sz w:val="32"/>
          <w:szCs w:val="32"/>
          <w:highlight w:val="none"/>
        </w:rPr>
        <w:t>年远景目标。</w:t>
      </w:r>
      <w:r>
        <w:rPr>
          <w:rFonts w:hint="eastAsia" w:ascii="仿宋" w:hAnsi="仿宋" w:eastAsia="仿宋"/>
          <w:color w:val="auto"/>
          <w:sz w:val="32"/>
          <w:szCs w:val="32"/>
          <w:highlight w:val="none"/>
        </w:rPr>
        <w:t>广泛形成绿色生产生活方式，碳排放达峰后稳中有降，生态环境根本好转，基本建成人与自然和谐共生的</w:t>
      </w:r>
      <w:r>
        <w:rPr>
          <w:rFonts w:hint="eastAsia" w:ascii="仿宋" w:hAnsi="仿宋" w:eastAsia="仿宋"/>
          <w:color w:val="auto"/>
          <w:sz w:val="32"/>
          <w:szCs w:val="32"/>
          <w:highlight w:val="none"/>
          <w:lang w:eastAsia="zh-CN"/>
        </w:rPr>
        <w:t>美丽抚顺</w:t>
      </w:r>
      <w:r>
        <w:rPr>
          <w:rFonts w:hint="eastAsia" w:ascii="仿宋" w:hAnsi="仿宋" w:eastAsia="仿宋"/>
          <w:color w:val="auto"/>
          <w:sz w:val="32"/>
          <w:szCs w:val="32"/>
          <w:highlight w:val="none"/>
        </w:rPr>
        <w:t>。节约资源和保护环境的空间格局、产业结构、生产方式、生活方式总体形成，绿色低碳发展和应对气候变化能力显著增强。空气质量根本改善，水环境质量全面提升，土壤环境安全保障有效，山水林田湖草生态系统服务功能总体恢复，蓝天白云、绿水青山成为常态，基本满足人民对优美生态环境的需要，生态环境保护管理制度健全高效，生态环境治理体系和治理能力现代化基本实现。</w:t>
      </w:r>
    </w:p>
    <w:p>
      <w:pPr>
        <w:spacing w:line="600" w:lineRule="exact"/>
        <w:ind w:firstLine="640" w:firstLineChars="200"/>
        <w:rPr>
          <w:rFonts w:ascii="仿宋" w:hAnsi="仿宋" w:eastAsia="仿宋"/>
          <w:color w:val="auto"/>
          <w:sz w:val="32"/>
          <w:szCs w:val="32"/>
          <w:highlight w:val="none"/>
        </w:rPr>
      </w:pPr>
      <w:r>
        <w:rPr>
          <w:rFonts w:hint="eastAsia" w:ascii="楷体" w:hAnsi="楷体" w:eastAsia="楷体" w:cs="仿宋"/>
          <w:bCs/>
          <w:color w:val="auto"/>
          <w:sz w:val="32"/>
          <w:szCs w:val="32"/>
          <w:highlight w:val="none"/>
        </w:rPr>
        <w:t>2</w:t>
      </w:r>
      <w:r>
        <w:rPr>
          <w:rFonts w:hint="eastAsia" w:ascii="楷体" w:hAnsi="楷体" w:eastAsia="楷体"/>
          <w:b/>
          <w:bCs/>
          <w:color w:val="auto"/>
          <w:sz w:val="32"/>
          <w:szCs w:val="32"/>
          <w:highlight w:val="none"/>
        </w:rPr>
        <w:t>.</w:t>
      </w:r>
      <w:r>
        <w:rPr>
          <w:rFonts w:hint="eastAsia" w:ascii="楷体" w:hAnsi="楷体" w:eastAsia="楷体" w:cs="仿宋"/>
          <w:bCs/>
          <w:color w:val="auto"/>
          <w:sz w:val="32"/>
          <w:szCs w:val="32"/>
          <w:highlight w:val="none"/>
        </w:rPr>
        <w:t>“十四五”时期目标。</w:t>
      </w:r>
      <w:r>
        <w:rPr>
          <w:rFonts w:hint="eastAsia" w:ascii="仿宋" w:hAnsi="仿宋" w:eastAsia="仿宋"/>
          <w:color w:val="auto"/>
          <w:sz w:val="32"/>
          <w:szCs w:val="32"/>
          <w:highlight w:val="none"/>
        </w:rPr>
        <w:t>生态文明建设实现新进步，</w:t>
      </w:r>
      <w:r>
        <w:rPr>
          <w:rFonts w:ascii="仿宋" w:hAnsi="仿宋" w:eastAsia="仿宋"/>
          <w:color w:val="auto"/>
          <w:sz w:val="32"/>
          <w:szCs w:val="32"/>
          <w:highlight w:val="none"/>
        </w:rPr>
        <w:t>重点行业领域减污降碳</w:t>
      </w:r>
      <w:r>
        <w:rPr>
          <w:rFonts w:hint="eastAsia" w:ascii="仿宋" w:hAnsi="仿宋" w:eastAsia="仿宋"/>
          <w:color w:val="auto"/>
          <w:sz w:val="32"/>
          <w:szCs w:val="32"/>
          <w:highlight w:val="none"/>
        </w:rPr>
        <w:t>取得明显成效，空气质量、水环境质量、土壤环境质量明显提高，东部生态屏障和大伙房水源保护区饮用水源安全保障能力明显增强，生态环境治理水平明显提升，生态环境风险可控，全社会生态环保意识明显进步，</w:t>
      </w:r>
      <w:r>
        <w:rPr>
          <w:rFonts w:hint="eastAsia" w:ascii="仿宋" w:hAnsi="仿宋" w:eastAsia="仿宋"/>
          <w:color w:val="auto"/>
          <w:sz w:val="32"/>
          <w:szCs w:val="32"/>
          <w:highlight w:val="none"/>
          <w:lang w:eastAsia="zh-CN"/>
        </w:rPr>
        <w:t>美丽抚顺</w:t>
      </w:r>
      <w:r>
        <w:rPr>
          <w:rFonts w:hint="eastAsia" w:ascii="仿宋" w:hAnsi="仿宋" w:eastAsia="仿宋"/>
          <w:color w:val="auto"/>
          <w:sz w:val="32"/>
          <w:szCs w:val="32"/>
          <w:highlight w:val="none"/>
        </w:rPr>
        <w:t>建设取得明显进展。</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楷体" w:hAnsi="楷体" w:eastAsia="楷体"/>
          <w:bCs/>
          <w:color w:val="auto"/>
          <w:sz w:val="32"/>
          <w:szCs w:val="32"/>
          <w:highlight w:val="none"/>
        </w:rPr>
        <w:t>（1）生产生活方式绿色转型取得新成效。</w:t>
      </w:r>
      <w:r>
        <w:rPr>
          <w:rFonts w:hint="eastAsia" w:ascii="仿宋" w:hAnsi="仿宋" w:eastAsia="仿宋"/>
          <w:color w:val="auto"/>
          <w:sz w:val="32"/>
          <w:szCs w:val="32"/>
          <w:highlight w:val="none"/>
        </w:rPr>
        <w:t>国土空间开发保护格局得到优化，绿色低碳发展加快推进，能源资源配置更加合理、利用效率大幅提高，碳排放强度持续降低，简约适度、绿色低碳的生活方式加快形成。</w:t>
      </w:r>
    </w:p>
    <w:p>
      <w:pPr>
        <w:spacing w:line="600" w:lineRule="exact"/>
        <w:ind w:firstLine="640" w:firstLineChars="200"/>
        <w:rPr>
          <w:rFonts w:ascii="仿宋" w:hAnsi="仿宋" w:eastAsia="仿宋"/>
          <w:color w:val="auto"/>
          <w:sz w:val="32"/>
          <w:szCs w:val="32"/>
          <w:highlight w:val="none"/>
        </w:rPr>
      </w:pPr>
      <w:r>
        <w:rPr>
          <w:rFonts w:hint="eastAsia" w:ascii="楷体" w:hAnsi="楷体" w:eastAsia="楷体"/>
          <w:bCs/>
          <w:color w:val="auto"/>
          <w:sz w:val="32"/>
          <w:szCs w:val="32"/>
          <w:highlight w:val="none"/>
        </w:rPr>
        <w:t>（2）生态环境高质量保护能力明显增强。</w:t>
      </w:r>
      <w:r>
        <w:rPr>
          <w:rFonts w:hint="eastAsia" w:ascii="仿宋" w:hAnsi="仿宋" w:eastAsia="仿宋"/>
          <w:color w:val="auto"/>
          <w:sz w:val="32"/>
          <w:szCs w:val="32"/>
          <w:highlight w:val="none"/>
        </w:rPr>
        <w:t>空气环境质量稳步提升，主要污染物排放总量持续减少。水环境质量持续改善，</w:t>
      </w:r>
      <w:r>
        <w:rPr>
          <w:rFonts w:hint="eastAsia" w:ascii="仿宋" w:hAnsi="仿宋" w:eastAsia="仿宋"/>
          <w:b w:val="0"/>
          <w:bCs w:val="0"/>
          <w:color w:val="auto"/>
          <w:sz w:val="32"/>
          <w:szCs w:val="32"/>
          <w:highlight w:val="none"/>
          <w:lang w:eastAsia="zh-CN"/>
        </w:rPr>
        <w:t>彻底消除国控劣</w:t>
      </w:r>
      <w:r>
        <w:rPr>
          <w:rFonts w:hint="eastAsia" w:ascii="仿宋" w:hAnsi="仿宋" w:eastAsia="仿宋" w:cs="仿宋"/>
          <w:b w:val="0"/>
          <w:bCs w:val="0"/>
          <w:color w:val="auto"/>
          <w:sz w:val="32"/>
          <w:szCs w:val="32"/>
          <w:highlight w:val="none"/>
          <w:lang w:eastAsia="zh-CN"/>
        </w:rPr>
        <w:t>V类断面和市、县两级城市建成区黑臭水体，</w:t>
      </w:r>
      <w:r>
        <w:rPr>
          <w:rFonts w:hint="eastAsia" w:ascii="仿宋" w:hAnsi="仿宋" w:eastAsia="仿宋" w:cs="仿宋"/>
          <w:b w:val="0"/>
          <w:bCs w:val="0"/>
          <w:color w:val="auto"/>
          <w:sz w:val="32"/>
          <w:szCs w:val="32"/>
          <w:highlight w:val="none"/>
          <w:lang w:val="en-US" w:eastAsia="zh-CN"/>
        </w:rPr>
        <w:t>并</w:t>
      </w:r>
      <w:r>
        <w:rPr>
          <w:rFonts w:hint="eastAsia" w:ascii="仿宋" w:hAnsi="仿宋" w:eastAsia="仿宋"/>
          <w:b w:val="0"/>
          <w:bCs w:val="0"/>
          <w:color w:val="auto"/>
          <w:sz w:val="32"/>
          <w:szCs w:val="32"/>
          <w:highlight w:val="none"/>
          <w:lang w:eastAsia="zh-CN"/>
        </w:rPr>
        <w:t>推进农村生活垃圾治理</w:t>
      </w:r>
      <w:r>
        <w:rPr>
          <w:rFonts w:hint="eastAsia" w:ascii="仿宋" w:hAnsi="仿宋" w:eastAsia="仿宋"/>
          <w:b w:val="0"/>
          <w:bCs w:val="0"/>
          <w:color w:val="auto"/>
          <w:sz w:val="32"/>
          <w:szCs w:val="32"/>
          <w:highlight w:val="none"/>
        </w:rPr>
        <w:t>。</w:t>
      </w:r>
      <w:r>
        <w:rPr>
          <w:rFonts w:hint="eastAsia" w:ascii="仿宋" w:hAnsi="仿宋" w:eastAsia="仿宋"/>
          <w:color w:val="auto"/>
          <w:sz w:val="32"/>
          <w:szCs w:val="32"/>
          <w:highlight w:val="none"/>
        </w:rPr>
        <w:t>土壤污染综合防治取得明显成效，重点区域土壤污染加重趋势得到有效控制。</w:t>
      </w:r>
    </w:p>
    <w:p>
      <w:pPr>
        <w:spacing w:line="600" w:lineRule="exact"/>
        <w:ind w:firstLine="640" w:firstLineChars="200"/>
        <w:rPr>
          <w:rFonts w:ascii="仿宋" w:hAnsi="仿宋" w:eastAsia="仿宋"/>
          <w:color w:val="auto"/>
          <w:sz w:val="32"/>
          <w:szCs w:val="32"/>
          <w:highlight w:val="none"/>
        </w:rPr>
      </w:pPr>
      <w:r>
        <w:rPr>
          <w:rFonts w:hint="eastAsia" w:ascii="楷体" w:hAnsi="楷体" w:eastAsia="楷体"/>
          <w:bCs/>
          <w:color w:val="auto"/>
          <w:sz w:val="32"/>
          <w:szCs w:val="32"/>
          <w:highlight w:val="none"/>
        </w:rPr>
        <w:t>（3）生态系统质量和稳定性持续提升。</w:t>
      </w:r>
      <w:r>
        <w:rPr>
          <w:rFonts w:hint="eastAsia" w:ascii="仿宋" w:hAnsi="仿宋" w:eastAsia="仿宋"/>
          <w:color w:val="auto"/>
          <w:sz w:val="32"/>
          <w:szCs w:val="32"/>
          <w:highlight w:val="none"/>
        </w:rPr>
        <w:t>生态安全屏障更加牢固，生物多样性得到有效保护，</w:t>
      </w:r>
      <w:r>
        <w:rPr>
          <w:rFonts w:ascii="仿宋" w:hAnsi="仿宋" w:eastAsia="仿宋"/>
          <w:color w:val="auto"/>
          <w:sz w:val="32"/>
          <w:szCs w:val="32"/>
          <w:highlight w:val="none"/>
        </w:rPr>
        <w:t>自然生态</w:t>
      </w:r>
      <w:r>
        <w:rPr>
          <w:rFonts w:hint="eastAsia" w:ascii="仿宋" w:hAnsi="仿宋" w:eastAsia="仿宋"/>
          <w:color w:val="auto"/>
          <w:sz w:val="32"/>
          <w:szCs w:val="32"/>
          <w:highlight w:val="none"/>
        </w:rPr>
        <w:t>稳定性明显增强，生物安全管理水平逐年提高，生态系统服务功能明显提升。</w:t>
      </w:r>
    </w:p>
    <w:p>
      <w:pPr>
        <w:spacing w:line="600" w:lineRule="exact"/>
        <w:ind w:firstLine="640" w:firstLineChars="200"/>
        <w:rPr>
          <w:rFonts w:ascii="仿宋" w:hAnsi="仿宋" w:eastAsia="仿宋"/>
          <w:color w:val="auto"/>
          <w:sz w:val="32"/>
          <w:szCs w:val="32"/>
          <w:highlight w:val="none"/>
        </w:rPr>
      </w:pPr>
      <w:r>
        <w:rPr>
          <w:rFonts w:hint="eastAsia" w:ascii="楷体" w:hAnsi="楷体" w:eastAsia="楷体"/>
          <w:bCs/>
          <w:color w:val="auto"/>
          <w:sz w:val="32"/>
          <w:szCs w:val="32"/>
          <w:highlight w:val="none"/>
        </w:rPr>
        <w:t>（4）现代生态环境治理体系更加完善</w:t>
      </w:r>
      <w:r>
        <w:rPr>
          <w:rFonts w:hint="eastAsia" w:ascii="仿宋" w:hAnsi="仿宋" w:eastAsia="仿宋"/>
          <w:b/>
          <w:bCs/>
          <w:color w:val="auto"/>
          <w:sz w:val="32"/>
          <w:szCs w:val="32"/>
          <w:highlight w:val="none"/>
        </w:rPr>
        <w:t>。</w:t>
      </w:r>
      <w:r>
        <w:rPr>
          <w:rFonts w:hint="eastAsia" w:ascii="仿宋" w:hAnsi="仿宋" w:eastAsia="仿宋"/>
          <w:color w:val="auto"/>
          <w:sz w:val="32"/>
          <w:szCs w:val="32"/>
          <w:highlight w:val="none"/>
        </w:rPr>
        <w:t>生态文明制度改革深入推进，生态环境治理能力现代化建设取得新进展，生态环境风险管控取得明显效果。</w:t>
      </w:r>
    </w:p>
    <w:p>
      <w:pPr>
        <w:pStyle w:val="8"/>
        <w:jc w:val="center"/>
        <w:rPr>
          <w:rFonts w:ascii="黑体" w:hAnsi="黑体"/>
          <w:color w:val="auto"/>
          <w:sz w:val="28"/>
          <w:szCs w:val="28"/>
          <w:highlight w:val="none"/>
        </w:rPr>
      </w:pPr>
      <w:bookmarkStart w:id="13" w:name="_Toc30631"/>
      <w:r>
        <w:rPr>
          <w:rFonts w:hint="eastAsia" w:ascii="黑体" w:hAnsi="黑体"/>
          <w:color w:val="auto"/>
          <w:sz w:val="28"/>
          <w:szCs w:val="28"/>
          <w:highlight w:val="none"/>
        </w:rPr>
        <w:t>抚顺市</w:t>
      </w:r>
      <w:r>
        <w:rPr>
          <w:rFonts w:hint="eastAsia" w:ascii="仿宋" w:hAnsi="仿宋" w:eastAsia="仿宋"/>
          <w:color w:val="auto"/>
          <w:sz w:val="28"/>
          <w:szCs w:val="28"/>
          <w:highlight w:val="none"/>
        </w:rPr>
        <w:t>“</w:t>
      </w:r>
      <w:r>
        <w:rPr>
          <w:rFonts w:hint="eastAsia" w:ascii="黑体" w:hAnsi="黑体"/>
          <w:color w:val="auto"/>
          <w:sz w:val="28"/>
          <w:szCs w:val="28"/>
          <w:highlight w:val="none"/>
        </w:rPr>
        <w:t>十四五</w:t>
      </w:r>
      <w:r>
        <w:rPr>
          <w:rFonts w:hint="eastAsia" w:ascii="仿宋" w:hAnsi="仿宋" w:eastAsia="仿宋"/>
          <w:color w:val="auto"/>
          <w:sz w:val="28"/>
          <w:szCs w:val="28"/>
          <w:highlight w:val="none"/>
        </w:rPr>
        <w:t>”</w:t>
      </w:r>
      <w:r>
        <w:rPr>
          <w:rFonts w:hint="eastAsia" w:ascii="黑体" w:hAnsi="黑体"/>
          <w:color w:val="auto"/>
          <w:sz w:val="28"/>
          <w:szCs w:val="28"/>
          <w:highlight w:val="none"/>
        </w:rPr>
        <w:t>生态环境保护规划主要指标</w:t>
      </w:r>
      <w:bookmarkEnd w:id="13"/>
    </w:p>
    <w:tbl>
      <w:tblPr>
        <w:tblStyle w:val="24"/>
        <w:tblW w:w="9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90"/>
        <w:gridCol w:w="5598"/>
        <w:gridCol w:w="1251"/>
        <w:gridCol w:w="1080"/>
        <w:gridCol w:w="10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90" w:type="dxa"/>
            <w:tcBorders>
              <w:tl2br w:val="nil"/>
              <w:tr2bl w:val="nil"/>
            </w:tcBorders>
            <w:tcMar>
              <w:top w:w="19" w:type="dxa"/>
              <w:left w:w="19" w:type="dxa"/>
              <w:bottom w:w="0" w:type="dxa"/>
              <w:right w:w="19" w:type="dxa"/>
            </w:tcMar>
            <w:vAlign w:val="center"/>
          </w:tcPr>
          <w:p>
            <w:pPr>
              <w:jc w:val="center"/>
              <w:rPr>
                <w:rFonts w:eastAsia="仿宋_GB2312"/>
                <w:b/>
                <w:color w:val="auto"/>
                <w:sz w:val="24"/>
                <w:highlight w:val="none"/>
              </w:rPr>
            </w:pPr>
            <w:r>
              <w:rPr>
                <w:rFonts w:hint="eastAsia" w:eastAsia="仿宋_GB2312"/>
                <w:b/>
                <w:color w:val="auto"/>
                <w:sz w:val="24"/>
                <w:highlight w:val="none"/>
              </w:rPr>
              <w:t>序号</w:t>
            </w:r>
          </w:p>
        </w:tc>
        <w:tc>
          <w:tcPr>
            <w:tcW w:w="5598" w:type="dxa"/>
            <w:tcBorders>
              <w:tl2br w:val="nil"/>
              <w:tr2bl w:val="nil"/>
            </w:tcBorders>
            <w:tcMar>
              <w:top w:w="19" w:type="dxa"/>
              <w:left w:w="19" w:type="dxa"/>
              <w:bottom w:w="0" w:type="dxa"/>
              <w:right w:w="19" w:type="dxa"/>
            </w:tcMar>
            <w:vAlign w:val="center"/>
          </w:tcPr>
          <w:p>
            <w:pPr>
              <w:jc w:val="center"/>
              <w:rPr>
                <w:rFonts w:eastAsia="仿宋_GB2312"/>
                <w:b/>
                <w:color w:val="auto"/>
                <w:sz w:val="24"/>
                <w:highlight w:val="none"/>
              </w:rPr>
            </w:pPr>
            <w:r>
              <w:rPr>
                <w:rFonts w:hint="eastAsia" w:eastAsia="仿宋_GB2312"/>
                <w:b/>
                <w:color w:val="auto"/>
                <w:sz w:val="24"/>
                <w:highlight w:val="none"/>
              </w:rPr>
              <w:t>指标项目</w:t>
            </w:r>
          </w:p>
        </w:tc>
        <w:tc>
          <w:tcPr>
            <w:tcW w:w="1251" w:type="dxa"/>
            <w:tcBorders>
              <w:tl2br w:val="nil"/>
              <w:tr2bl w:val="nil"/>
            </w:tcBorders>
            <w:tcMar>
              <w:top w:w="19" w:type="dxa"/>
              <w:left w:w="19" w:type="dxa"/>
              <w:bottom w:w="0" w:type="dxa"/>
              <w:right w:w="19" w:type="dxa"/>
            </w:tcMar>
            <w:vAlign w:val="center"/>
          </w:tcPr>
          <w:p>
            <w:pPr>
              <w:jc w:val="center"/>
              <w:rPr>
                <w:rFonts w:eastAsia="仿宋_GB2312"/>
                <w:b/>
                <w:color w:val="auto"/>
                <w:sz w:val="24"/>
                <w:highlight w:val="none"/>
              </w:rPr>
            </w:pPr>
            <w:r>
              <w:rPr>
                <w:rFonts w:eastAsia="仿宋_GB2312"/>
                <w:b/>
                <w:color w:val="auto"/>
                <w:sz w:val="24"/>
                <w:highlight w:val="none"/>
              </w:rPr>
              <w:t>2020</w:t>
            </w:r>
            <w:r>
              <w:rPr>
                <w:rFonts w:hint="eastAsia" w:eastAsia="仿宋_GB2312"/>
                <w:b/>
                <w:color w:val="auto"/>
                <w:sz w:val="24"/>
                <w:highlight w:val="none"/>
              </w:rPr>
              <w:t>年</w:t>
            </w:r>
          </w:p>
        </w:tc>
        <w:tc>
          <w:tcPr>
            <w:tcW w:w="1080" w:type="dxa"/>
            <w:tcBorders>
              <w:tl2br w:val="nil"/>
              <w:tr2bl w:val="nil"/>
            </w:tcBorders>
            <w:tcMar>
              <w:top w:w="19" w:type="dxa"/>
              <w:left w:w="19" w:type="dxa"/>
              <w:bottom w:w="0" w:type="dxa"/>
              <w:right w:w="19" w:type="dxa"/>
            </w:tcMar>
            <w:vAlign w:val="center"/>
          </w:tcPr>
          <w:p>
            <w:pPr>
              <w:jc w:val="center"/>
              <w:rPr>
                <w:rFonts w:eastAsia="仿宋_GB2312"/>
                <w:b/>
                <w:color w:val="auto"/>
                <w:sz w:val="24"/>
                <w:highlight w:val="none"/>
              </w:rPr>
            </w:pPr>
            <w:r>
              <w:rPr>
                <w:rFonts w:eastAsia="仿宋_GB2312"/>
                <w:b/>
                <w:color w:val="auto"/>
                <w:sz w:val="24"/>
                <w:highlight w:val="none"/>
              </w:rPr>
              <w:t>2025</w:t>
            </w:r>
            <w:r>
              <w:rPr>
                <w:rFonts w:hint="eastAsia" w:eastAsia="仿宋_GB2312"/>
                <w:b/>
                <w:color w:val="auto"/>
                <w:sz w:val="24"/>
                <w:highlight w:val="none"/>
              </w:rPr>
              <w:t>年</w:t>
            </w:r>
          </w:p>
        </w:tc>
        <w:tc>
          <w:tcPr>
            <w:tcW w:w="1097" w:type="dxa"/>
            <w:tcBorders>
              <w:tl2br w:val="nil"/>
              <w:tr2bl w:val="nil"/>
            </w:tcBorders>
            <w:vAlign w:val="center"/>
          </w:tcPr>
          <w:p>
            <w:pPr>
              <w:jc w:val="center"/>
              <w:rPr>
                <w:rFonts w:eastAsia="仿宋_GB2312"/>
                <w:b/>
                <w:color w:val="auto"/>
                <w:sz w:val="24"/>
                <w:highlight w:val="none"/>
              </w:rPr>
            </w:pPr>
            <w:r>
              <w:rPr>
                <w:rFonts w:hint="eastAsia" w:eastAsia="仿宋_GB2312"/>
                <w:b/>
                <w:color w:val="auto"/>
                <w:sz w:val="24"/>
                <w:highlight w:val="none"/>
              </w:rPr>
              <w:t>指标类别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9616" w:type="dxa"/>
            <w:gridSpan w:val="5"/>
            <w:tcBorders>
              <w:tl2br w:val="nil"/>
              <w:tr2bl w:val="nil"/>
            </w:tcBorders>
            <w:tcMar>
              <w:top w:w="19" w:type="dxa"/>
              <w:left w:w="19" w:type="dxa"/>
              <w:bottom w:w="0" w:type="dxa"/>
              <w:right w:w="19" w:type="dxa"/>
            </w:tcMar>
            <w:vAlign w:val="center"/>
          </w:tcPr>
          <w:p>
            <w:pPr>
              <w:jc w:val="center"/>
              <w:rPr>
                <w:rFonts w:eastAsia="仿宋_GB2312"/>
                <w:b/>
                <w:color w:val="auto"/>
                <w:sz w:val="24"/>
                <w:highlight w:val="none"/>
              </w:rPr>
            </w:pPr>
            <w:r>
              <w:rPr>
                <w:rFonts w:hint="eastAsia" w:eastAsia="仿宋_GB2312"/>
                <w:b/>
                <w:color w:val="auto"/>
                <w:sz w:val="24"/>
                <w:highlight w:val="none"/>
              </w:rPr>
              <w:t>（一）环境治理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29" w:hRule="atLeast"/>
          <w:tblHeader/>
          <w:jc w:val="center"/>
        </w:trPr>
        <w:tc>
          <w:tcPr>
            <w:tcW w:w="590" w:type="dxa"/>
            <w:tcBorders>
              <w:tl2br w:val="nil"/>
              <w:tr2bl w:val="nil"/>
            </w:tcBorders>
            <w:tcMar>
              <w:top w:w="19" w:type="dxa"/>
              <w:left w:w="19" w:type="dxa"/>
              <w:bottom w:w="0" w:type="dxa"/>
              <w:right w:w="19" w:type="dxa"/>
            </w:tcMar>
            <w:vAlign w:val="center"/>
          </w:tcPr>
          <w:p>
            <w:pPr>
              <w:numPr>
                <w:ilvl w:val="0"/>
                <w:numId w:val="2"/>
              </w:numPr>
              <w:jc w:val="right"/>
              <w:rPr>
                <w:rFonts w:eastAsia="仿宋_GB2312"/>
                <w:bCs/>
                <w:color w:val="auto"/>
                <w:sz w:val="24"/>
                <w:highlight w:val="none"/>
              </w:rPr>
            </w:pPr>
          </w:p>
        </w:tc>
        <w:tc>
          <w:tcPr>
            <w:tcW w:w="5598" w:type="dxa"/>
            <w:tcBorders>
              <w:tl2br w:val="nil"/>
              <w:tr2bl w:val="nil"/>
            </w:tcBorders>
            <w:tcMar>
              <w:top w:w="19" w:type="dxa"/>
              <w:left w:w="19" w:type="dxa"/>
              <w:bottom w:w="0" w:type="dxa"/>
              <w:right w:w="19" w:type="dxa"/>
            </w:tcMar>
            <w:vAlign w:val="center"/>
          </w:tcPr>
          <w:p>
            <w:pPr>
              <w:jc w:val="left"/>
              <w:rPr>
                <w:rFonts w:eastAsia="仿宋"/>
                <w:bCs/>
                <w:color w:val="auto"/>
                <w:sz w:val="24"/>
                <w:highlight w:val="none"/>
              </w:rPr>
            </w:pPr>
            <w:r>
              <w:rPr>
                <w:rFonts w:hint="eastAsia" w:ascii="Times New Roman" w:hAnsi="Times New Roman" w:eastAsia="仿宋" w:cs="Times New Roman"/>
                <w:color w:val="auto"/>
                <w:sz w:val="24"/>
                <w:highlight w:val="none"/>
              </w:rPr>
              <w:t>细吸入颗粒物（</w:t>
            </w:r>
            <w:r>
              <w:rPr>
                <w:rFonts w:ascii="Times New Roman" w:hAnsi="Times New Roman" w:eastAsia="仿宋" w:cs="Times New Roman"/>
                <w:color w:val="auto"/>
                <w:sz w:val="24"/>
                <w:highlight w:val="none"/>
              </w:rPr>
              <w:t>PM2.5</w:t>
            </w:r>
            <w:r>
              <w:rPr>
                <w:rFonts w:hint="eastAsia" w:ascii="Times New Roman" w:hAnsi="Times New Roman" w:eastAsia="仿宋" w:cs="Times New Roman"/>
                <w:color w:val="auto"/>
                <w:sz w:val="24"/>
                <w:highlight w:val="none"/>
              </w:rPr>
              <w:t>）浓度</w:t>
            </w:r>
            <w:r>
              <w:rPr>
                <w:rFonts w:hint="eastAsia" w:eastAsia="仿宋" w:cs="Times New Roman"/>
                <w:color w:val="auto"/>
                <w:sz w:val="24"/>
                <w:highlight w:val="none"/>
              </w:rPr>
              <w:t>（</w:t>
            </w:r>
            <w:r>
              <w:rPr>
                <w:rFonts w:ascii="Times New Roman" w:hAnsi="Times New Roman" w:eastAsia="仿宋" w:cs="Times New Roman"/>
                <w:color w:val="auto"/>
                <w:sz w:val="24"/>
                <w:highlight w:val="none"/>
              </w:rPr>
              <w:t>ug/m</w:t>
            </w:r>
            <w:r>
              <w:rPr>
                <w:rFonts w:ascii="Times New Roman" w:hAnsi="Times New Roman" w:eastAsia="仿宋" w:cs="Times New Roman"/>
                <w:color w:val="auto"/>
                <w:sz w:val="24"/>
                <w:highlight w:val="none"/>
                <w:vertAlign w:val="superscript"/>
              </w:rPr>
              <w:t>3</w:t>
            </w:r>
            <w:r>
              <w:rPr>
                <w:rFonts w:hint="eastAsia" w:eastAsia="仿宋" w:cs="Times New Roman"/>
                <w:color w:val="auto"/>
                <w:sz w:val="24"/>
                <w:highlight w:val="none"/>
              </w:rPr>
              <w:t>）</w:t>
            </w:r>
          </w:p>
        </w:tc>
        <w:tc>
          <w:tcPr>
            <w:tcW w:w="1251" w:type="dxa"/>
            <w:tcBorders>
              <w:tl2br w:val="nil"/>
              <w:tr2bl w:val="nil"/>
            </w:tcBorders>
            <w:tcMar>
              <w:top w:w="19" w:type="dxa"/>
              <w:left w:w="19" w:type="dxa"/>
              <w:bottom w:w="0" w:type="dxa"/>
              <w:right w:w="19" w:type="dxa"/>
            </w:tcMar>
            <w:vAlign w:val="center"/>
          </w:tcPr>
          <w:p>
            <w:pPr>
              <w:jc w:val="center"/>
              <w:rPr>
                <w:rFonts w:hint="default" w:eastAsia="仿宋_GB2312"/>
                <w:bCs/>
                <w:color w:val="auto"/>
                <w:sz w:val="24"/>
                <w:highlight w:val="none"/>
                <w:lang w:val="en-US" w:eastAsia="zh-CN"/>
              </w:rPr>
            </w:pPr>
            <w:r>
              <w:rPr>
                <w:rFonts w:hint="eastAsia" w:eastAsia="仿宋_GB2312"/>
                <w:bCs/>
                <w:color w:val="auto"/>
                <w:sz w:val="24"/>
                <w:highlight w:val="none"/>
                <w:lang w:val="en-US" w:eastAsia="zh-CN"/>
              </w:rPr>
              <w:t>40</w:t>
            </w:r>
          </w:p>
        </w:tc>
        <w:tc>
          <w:tcPr>
            <w:tcW w:w="1080" w:type="dxa"/>
            <w:tcBorders>
              <w:tl2br w:val="nil"/>
              <w:tr2bl w:val="nil"/>
            </w:tcBorders>
            <w:tcMar>
              <w:top w:w="19" w:type="dxa"/>
              <w:left w:w="19" w:type="dxa"/>
              <w:bottom w:w="0" w:type="dxa"/>
              <w:right w:w="19" w:type="dxa"/>
            </w:tcMar>
            <w:vAlign w:val="center"/>
          </w:tcPr>
          <w:p>
            <w:pPr>
              <w:jc w:val="center"/>
              <w:rPr>
                <w:rFonts w:hint="default" w:eastAsia="仿宋_GB2312"/>
                <w:bCs/>
                <w:color w:val="auto"/>
                <w:sz w:val="24"/>
                <w:highlight w:val="none"/>
                <w:lang w:val="en-US" w:eastAsia="zh-CN"/>
              </w:rPr>
            </w:pPr>
            <w:r>
              <w:rPr>
                <w:rFonts w:hint="default" w:ascii="Arial" w:hAnsi="Arial" w:eastAsia="仿宋_GB2312" w:cs="Arial"/>
                <w:bCs/>
                <w:color w:val="auto"/>
                <w:sz w:val="24"/>
                <w:highlight w:val="none"/>
                <w:lang w:val="en-US" w:eastAsia="zh-CN"/>
              </w:rPr>
              <w:t>≤</w:t>
            </w:r>
            <w:r>
              <w:rPr>
                <w:rFonts w:hint="eastAsia" w:eastAsia="仿宋_GB2312"/>
                <w:bCs/>
                <w:color w:val="auto"/>
                <w:sz w:val="24"/>
                <w:highlight w:val="none"/>
                <w:lang w:val="en-US" w:eastAsia="zh-CN"/>
              </w:rPr>
              <w:t>34</w:t>
            </w:r>
          </w:p>
        </w:tc>
        <w:tc>
          <w:tcPr>
            <w:tcW w:w="1097" w:type="dxa"/>
            <w:tcBorders>
              <w:tl2br w:val="nil"/>
              <w:tr2bl w:val="nil"/>
            </w:tcBorders>
            <w:vAlign w:val="center"/>
          </w:tcPr>
          <w:p>
            <w:pPr>
              <w:jc w:val="center"/>
              <w:rPr>
                <w:rFonts w:eastAsia="仿宋_GB2312"/>
                <w:bCs/>
                <w:color w:val="auto"/>
                <w:sz w:val="24"/>
                <w:highlight w:val="none"/>
              </w:rPr>
            </w:pPr>
            <w:r>
              <w:rPr>
                <w:rFonts w:hint="eastAsia" w:eastAsia="仿宋_GB2312"/>
                <w:color w:val="auto"/>
                <w:sz w:val="24"/>
                <w:highlight w:val="none"/>
              </w:rPr>
              <w:t>约束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590" w:type="dxa"/>
            <w:tcBorders>
              <w:tl2br w:val="nil"/>
              <w:tr2bl w:val="nil"/>
            </w:tcBorders>
            <w:tcMar>
              <w:top w:w="19" w:type="dxa"/>
              <w:left w:w="19" w:type="dxa"/>
              <w:bottom w:w="0" w:type="dxa"/>
              <w:right w:w="19" w:type="dxa"/>
            </w:tcMar>
            <w:vAlign w:val="center"/>
          </w:tcPr>
          <w:p>
            <w:pPr>
              <w:numPr>
                <w:ilvl w:val="0"/>
                <w:numId w:val="2"/>
              </w:numPr>
              <w:jc w:val="right"/>
              <w:rPr>
                <w:rFonts w:eastAsia="仿宋_GB2312"/>
                <w:bCs/>
                <w:color w:val="auto"/>
                <w:sz w:val="24"/>
                <w:highlight w:val="none"/>
              </w:rPr>
            </w:pPr>
          </w:p>
        </w:tc>
        <w:tc>
          <w:tcPr>
            <w:tcW w:w="5598" w:type="dxa"/>
            <w:tcBorders>
              <w:tl2br w:val="nil"/>
              <w:tr2bl w:val="nil"/>
            </w:tcBorders>
            <w:tcMar>
              <w:top w:w="19" w:type="dxa"/>
              <w:left w:w="19" w:type="dxa"/>
              <w:bottom w:w="0" w:type="dxa"/>
              <w:right w:w="19" w:type="dxa"/>
            </w:tcMar>
            <w:vAlign w:val="center"/>
          </w:tcPr>
          <w:p>
            <w:pPr>
              <w:rPr>
                <w:rFonts w:eastAsia="仿宋"/>
                <w:bCs/>
                <w:color w:val="auto"/>
                <w:sz w:val="24"/>
                <w:highlight w:val="none"/>
              </w:rPr>
            </w:pPr>
            <w:r>
              <w:rPr>
                <w:rFonts w:hint="eastAsia" w:ascii="Times New Roman" w:hAnsi="Times New Roman" w:eastAsia="仿宋" w:cs="Times New Roman"/>
                <w:color w:val="auto"/>
                <w:sz w:val="24"/>
                <w:highlight w:val="none"/>
              </w:rPr>
              <w:t>城市空气环境质量优良天</w:t>
            </w:r>
            <w:r>
              <w:rPr>
                <w:rFonts w:hint="eastAsia" w:eastAsia="仿宋" w:cs="Times New Roman"/>
                <w:color w:val="auto"/>
                <w:sz w:val="24"/>
                <w:highlight w:val="none"/>
              </w:rPr>
              <w:t>数</w:t>
            </w:r>
            <w:r>
              <w:rPr>
                <w:rFonts w:ascii="Times New Roman" w:hAnsi="Times New Roman" w:eastAsia="仿宋" w:cs="Times New Roman"/>
                <w:color w:val="auto"/>
                <w:sz w:val="24"/>
                <w:highlight w:val="none"/>
              </w:rPr>
              <w:t>(%)</w:t>
            </w:r>
          </w:p>
        </w:tc>
        <w:tc>
          <w:tcPr>
            <w:tcW w:w="1251" w:type="dxa"/>
            <w:tcBorders>
              <w:tl2br w:val="nil"/>
              <w:tr2bl w:val="nil"/>
            </w:tcBorders>
            <w:tcMar>
              <w:top w:w="19" w:type="dxa"/>
              <w:left w:w="19" w:type="dxa"/>
              <w:bottom w:w="0" w:type="dxa"/>
              <w:right w:w="19" w:type="dxa"/>
            </w:tcMar>
            <w:vAlign w:val="center"/>
          </w:tcPr>
          <w:p>
            <w:pPr>
              <w:jc w:val="center"/>
              <w:rPr>
                <w:rFonts w:hint="default" w:eastAsia="仿宋_GB2312"/>
                <w:bCs/>
                <w:color w:val="auto"/>
                <w:sz w:val="24"/>
                <w:highlight w:val="none"/>
                <w:lang w:val="en-US" w:eastAsia="zh-CN"/>
              </w:rPr>
            </w:pPr>
            <w:r>
              <w:rPr>
                <w:rFonts w:hint="eastAsia" w:eastAsia="仿宋_GB2312"/>
                <w:bCs/>
                <w:color w:val="auto"/>
                <w:sz w:val="24"/>
                <w:highlight w:val="none"/>
                <w:lang w:val="en-US" w:eastAsia="zh-CN"/>
              </w:rPr>
              <w:t>78</w:t>
            </w:r>
          </w:p>
        </w:tc>
        <w:tc>
          <w:tcPr>
            <w:tcW w:w="1080" w:type="dxa"/>
            <w:tcBorders>
              <w:tl2br w:val="nil"/>
              <w:tr2bl w:val="nil"/>
            </w:tcBorders>
            <w:tcMar>
              <w:top w:w="19" w:type="dxa"/>
              <w:left w:w="19" w:type="dxa"/>
              <w:bottom w:w="0" w:type="dxa"/>
              <w:right w:w="19" w:type="dxa"/>
            </w:tcMar>
            <w:vAlign w:val="center"/>
          </w:tcPr>
          <w:p>
            <w:pPr>
              <w:jc w:val="center"/>
              <w:rPr>
                <w:rFonts w:hint="default" w:eastAsia="仿宋_GB2312"/>
                <w:bCs/>
                <w:color w:val="auto"/>
                <w:sz w:val="24"/>
                <w:highlight w:val="none"/>
                <w:lang w:val="en-US" w:eastAsia="zh-CN"/>
              </w:rPr>
            </w:pPr>
            <w:r>
              <w:rPr>
                <w:rFonts w:hint="eastAsia" w:eastAsia="仿宋_GB2312"/>
                <w:bCs/>
                <w:color w:val="auto"/>
                <w:sz w:val="24"/>
                <w:highlight w:val="none"/>
                <w:lang w:val="en-US" w:eastAsia="zh-CN"/>
              </w:rPr>
              <w:t>88.3</w:t>
            </w:r>
          </w:p>
        </w:tc>
        <w:tc>
          <w:tcPr>
            <w:tcW w:w="1097" w:type="dxa"/>
            <w:tcBorders>
              <w:tl2br w:val="nil"/>
              <w:tr2bl w:val="nil"/>
            </w:tcBorders>
            <w:vAlign w:val="center"/>
          </w:tcPr>
          <w:p>
            <w:pPr>
              <w:jc w:val="center"/>
              <w:rPr>
                <w:rFonts w:eastAsia="仿宋_GB2312"/>
                <w:bCs/>
                <w:color w:val="auto"/>
                <w:sz w:val="24"/>
                <w:highlight w:val="none"/>
              </w:rPr>
            </w:pPr>
            <w:r>
              <w:rPr>
                <w:rFonts w:hint="eastAsia" w:eastAsia="仿宋_GB2312"/>
                <w:color w:val="auto"/>
                <w:sz w:val="24"/>
                <w:highlight w:val="none"/>
              </w:rPr>
              <w:t>约束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590" w:type="dxa"/>
            <w:tcBorders>
              <w:tl2br w:val="nil"/>
              <w:tr2bl w:val="nil"/>
            </w:tcBorders>
            <w:tcMar>
              <w:top w:w="19" w:type="dxa"/>
              <w:left w:w="19" w:type="dxa"/>
              <w:bottom w:w="0" w:type="dxa"/>
              <w:right w:w="19" w:type="dxa"/>
            </w:tcMar>
            <w:vAlign w:val="center"/>
          </w:tcPr>
          <w:p>
            <w:pPr>
              <w:numPr>
                <w:ilvl w:val="0"/>
                <w:numId w:val="2"/>
              </w:numPr>
              <w:jc w:val="right"/>
              <w:rPr>
                <w:rFonts w:eastAsia="仿宋_GB2312"/>
                <w:bCs/>
                <w:color w:val="auto"/>
                <w:sz w:val="24"/>
                <w:highlight w:val="none"/>
              </w:rPr>
            </w:pPr>
          </w:p>
        </w:tc>
        <w:tc>
          <w:tcPr>
            <w:tcW w:w="5598" w:type="dxa"/>
            <w:tcBorders>
              <w:tl2br w:val="nil"/>
              <w:tr2bl w:val="nil"/>
            </w:tcBorders>
            <w:tcMar>
              <w:top w:w="19" w:type="dxa"/>
              <w:left w:w="19" w:type="dxa"/>
              <w:bottom w:w="0" w:type="dxa"/>
              <w:right w:w="19" w:type="dxa"/>
            </w:tcMar>
            <w:vAlign w:val="center"/>
          </w:tcPr>
          <w:p>
            <w:pP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重污染天气天数（</w:t>
            </w:r>
            <w:r>
              <w:rPr>
                <w:rFonts w:hint="eastAsia"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rPr>
              <w:t>）</w:t>
            </w:r>
          </w:p>
        </w:tc>
        <w:tc>
          <w:tcPr>
            <w:tcW w:w="1251" w:type="dxa"/>
            <w:tcBorders>
              <w:tl2br w:val="nil"/>
              <w:tr2bl w:val="nil"/>
            </w:tcBorders>
            <w:tcMar>
              <w:top w:w="19" w:type="dxa"/>
              <w:left w:w="19" w:type="dxa"/>
              <w:bottom w:w="0" w:type="dxa"/>
              <w:right w:w="19" w:type="dxa"/>
            </w:tcMar>
            <w:vAlign w:val="center"/>
          </w:tcPr>
          <w:p>
            <w:pPr>
              <w:jc w:val="center"/>
              <w:rPr>
                <w:rFonts w:eastAsia="仿宋_GB2312"/>
                <w:bCs/>
                <w:color w:val="auto"/>
                <w:sz w:val="24"/>
                <w:highlight w:val="none"/>
              </w:rPr>
            </w:pPr>
          </w:p>
        </w:tc>
        <w:tc>
          <w:tcPr>
            <w:tcW w:w="1080" w:type="dxa"/>
            <w:tcBorders>
              <w:tl2br w:val="nil"/>
              <w:tr2bl w:val="nil"/>
            </w:tcBorders>
            <w:tcMar>
              <w:top w:w="19" w:type="dxa"/>
              <w:left w:w="19" w:type="dxa"/>
              <w:bottom w:w="0" w:type="dxa"/>
              <w:right w:w="19" w:type="dxa"/>
            </w:tcMar>
            <w:vAlign w:val="center"/>
          </w:tcPr>
          <w:p>
            <w:pPr>
              <w:jc w:val="center"/>
              <w:rPr>
                <w:rFonts w:hint="default" w:eastAsia="仿宋"/>
                <w:color w:val="auto"/>
                <w:sz w:val="24"/>
                <w:highlight w:val="none"/>
                <w:lang w:val="en-US" w:eastAsia="zh-CN"/>
              </w:rPr>
            </w:pPr>
            <w:r>
              <w:rPr>
                <w:rFonts w:hint="default" w:ascii="Arial" w:hAnsi="Arial" w:eastAsia="仿宋_GB2312" w:cs="Arial"/>
                <w:bCs/>
                <w:color w:val="auto"/>
                <w:sz w:val="24"/>
                <w:highlight w:val="none"/>
                <w:lang w:val="en-US" w:eastAsia="zh-CN"/>
              </w:rPr>
              <w:t>≤</w:t>
            </w:r>
            <w:r>
              <w:rPr>
                <w:rFonts w:hint="eastAsia" w:eastAsia="仿宋"/>
                <w:color w:val="auto"/>
                <w:sz w:val="24"/>
                <w:highlight w:val="none"/>
                <w:lang w:val="en-US" w:eastAsia="zh-CN"/>
              </w:rPr>
              <w:t>0.7</w:t>
            </w:r>
          </w:p>
        </w:tc>
        <w:tc>
          <w:tcPr>
            <w:tcW w:w="1097" w:type="dxa"/>
            <w:tcBorders>
              <w:tl2br w:val="nil"/>
              <w:tr2bl w:val="nil"/>
            </w:tcBorders>
            <w:vAlign w:val="center"/>
          </w:tcPr>
          <w:p>
            <w:pPr>
              <w:jc w:val="center"/>
              <w:rPr>
                <w:rFonts w:eastAsia="仿宋_GB2312"/>
                <w:color w:val="auto"/>
                <w:sz w:val="24"/>
                <w:highlight w:val="none"/>
              </w:rPr>
            </w:pPr>
            <w:r>
              <w:rPr>
                <w:rFonts w:hint="eastAsia" w:eastAsia="仿宋_GB2312"/>
                <w:color w:val="auto"/>
                <w:sz w:val="24"/>
                <w:highlight w:val="none"/>
              </w:rPr>
              <w:t>约束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05" w:hRule="atLeast"/>
          <w:tblHeader/>
          <w:jc w:val="center"/>
        </w:trPr>
        <w:tc>
          <w:tcPr>
            <w:tcW w:w="590" w:type="dxa"/>
            <w:tcBorders>
              <w:tl2br w:val="nil"/>
              <w:tr2bl w:val="nil"/>
            </w:tcBorders>
            <w:tcMar>
              <w:top w:w="19" w:type="dxa"/>
              <w:left w:w="19" w:type="dxa"/>
              <w:bottom w:w="0" w:type="dxa"/>
              <w:right w:w="19" w:type="dxa"/>
            </w:tcMar>
            <w:vAlign w:val="center"/>
          </w:tcPr>
          <w:p>
            <w:pPr>
              <w:numPr>
                <w:ilvl w:val="0"/>
                <w:numId w:val="2"/>
              </w:numPr>
              <w:jc w:val="right"/>
              <w:rPr>
                <w:rFonts w:eastAsia="仿宋_GB2312"/>
                <w:bCs/>
                <w:color w:val="auto"/>
                <w:sz w:val="24"/>
                <w:highlight w:val="none"/>
              </w:rPr>
            </w:pPr>
          </w:p>
        </w:tc>
        <w:tc>
          <w:tcPr>
            <w:tcW w:w="5598" w:type="dxa"/>
            <w:tcBorders>
              <w:tl2br w:val="nil"/>
              <w:tr2bl w:val="nil"/>
            </w:tcBorders>
            <w:tcMar>
              <w:top w:w="19" w:type="dxa"/>
              <w:left w:w="19" w:type="dxa"/>
              <w:bottom w:w="0" w:type="dxa"/>
              <w:right w:w="19" w:type="dxa"/>
            </w:tcMar>
            <w:vAlign w:val="center"/>
          </w:tcPr>
          <w:p>
            <w:pP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地表水</w:t>
            </w:r>
            <w:r>
              <w:rPr>
                <w:rFonts w:hint="eastAsia" w:ascii="Times New Roman" w:hAnsi="Times New Roman" w:eastAsia="仿宋" w:cs="Times New Roman"/>
                <w:color w:val="auto"/>
                <w:sz w:val="24"/>
                <w:highlight w:val="none"/>
                <w:lang w:val="en-US" w:eastAsia="zh-CN"/>
              </w:rPr>
              <w:t>达到或</w:t>
            </w:r>
            <w:r>
              <w:rPr>
                <w:rFonts w:hint="eastAsia" w:ascii="Times New Roman" w:hAnsi="Times New Roman" w:eastAsia="仿宋" w:cs="Times New Roman"/>
                <w:color w:val="auto"/>
                <w:sz w:val="24"/>
                <w:highlight w:val="none"/>
              </w:rPr>
              <w:t>好于</w:t>
            </w:r>
            <w:r>
              <w:rPr>
                <w:rFonts w:hint="eastAsia" w:ascii="Times New Roman" w:hAnsi="Times New Roman" w:eastAsia="仿宋" w:cs="Times New Roman"/>
                <w:color w:val="auto"/>
                <w:sz w:val="24"/>
                <w:highlight w:val="none"/>
              </w:rPr>
              <w:fldChar w:fldCharType="begin"/>
            </w:r>
            <w:r>
              <w:rPr>
                <w:rFonts w:hint="eastAsia" w:ascii="Times New Roman" w:hAnsi="Times New Roman" w:eastAsia="仿宋" w:cs="Times New Roman"/>
                <w:color w:val="auto"/>
                <w:sz w:val="24"/>
                <w:highlight w:val="none"/>
              </w:rPr>
              <w:instrText xml:space="preserve"> = 3 \* ROMAN \* MERGEFORMAT </w:instrText>
            </w:r>
            <w:r>
              <w:rPr>
                <w:rFonts w:hint="eastAsia" w:ascii="Times New Roman" w:hAnsi="Times New Roman" w:eastAsia="仿宋" w:cs="Times New Roman"/>
                <w:color w:val="auto"/>
                <w:sz w:val="24"/>
                <w:highlight w:val="none"/>
              </w:rPr>
              <w:fldChar w:fldCharType="separate"/>
            </w:r>
            <w:r>
              <w:rPr>
                <w:color w:val="auto"/>
                <w:highlight w:val="none"/>
              </w:rPr>
              <w:t>III</w:t>
            </w:r>
            <w:r>
              <w:rPr>
                <w:rFonts w:hint="eastAsia" w:ascii="Times New Roman" w:hAnsi="Times New Roman" w:eastAsia="仿宋" w:cs="Times New Roman"/>
                <w:color w:val="auto"/>
                <w:sz w:val="24"/>
                <w:highlight w:val="none"/>
              </w:rPr>
              <w:fldChar w:fldCharType="end"/>
            </w:r>
            <w:r>
              <w:rPr>
                <w:rFonts w:hint="eastAsia" w:ascii="Times New Roman" w:hAnsi="Times New Roman" w:eastAsia="仿宋" w:cs="Times New Roman"/>
                <w:color w:val="auto"/>
                <w:sz w:val="24"/>
                <w:highlight w:val="none"/>
              </w:rPr>
              <w:t>类水体比例</w:t>
            </w:r>
            <w:r>
              <w:rPr>
                <w:rFonts w:hint="eastAsia" w:ascii="Times New Roman" w:hAnsi="Times New Roman" w:eastAsia="仿宋_GB2312" w:cs="Times New Roman"/>
                <w:bCs/>
                <w:color w:val="auto"/>
                <w:sz w:val="24"/>
                <w:highlight w:val="none"/>
              </w:rPr>
              <w:t>（%）</w:t>
            </w:r>
          </w:p>
        </w:tc>
        <w:tc>
          <w:tcPr>
            <w:tcW w:w="1251" w:type="dxa"/>
            <w:tcBorders>
              <w:tl2br w:val="nil"/>
              <w:tr2bl w:val="nil"/>
            </w:tcBorders>
            <w:tcMar>
              <w:top w:w="19" w:type="dxa"/>
              <w:left w:w="19" w:type="dxa"/>
              <w:bottom w:w="0" w:type="dxa"/>
              <w:right w:w="19" w:type="dxa"/>
            </w:tcMar>
            <w:vAlign w:val="center"/>
          </w:tcPr>
          <w:p>
            <w:pPr>
              <w:jc w:val="center"/>
              <w:rPr>
                <w:rFonts w:hint="default" w:eastAsia="仿宋_GB2312" w:asciiTheme="minorHAnsi" w:hAnsiTheme="minorHAnsi" w:cstheme="minorBidi"/>
                <w:bCs/>
                <w:color w:val="auto"/>
                <w:kern w:val="2"/>
                <w:sz w:val="24"/>
                <w:szCs w:val="24"/>
                <w:highlight w:val="none"/>
                <w:lang w:val="en-US" w:eastAsia="zh-CN" w:bidi="ar-SA"/>
              </w:rPr>
            </w:pPr>
            <w:r>
              <w:rPr>
                <w:rFonts w:hint="eastAsia" w:eastAsia="仿宋_GB2312"/>
                <w:bCs/>
                <w:color w:val="auto"/>
                <w:sz w:val="24"/>
                <w:highlight w:val="none"/>
                <w:lang w:val="en-US" w:eastAsia="zh-CN"/>
              </w:rPr>
              <w:t>100</w:t>
            </w:r>
          </w:p>
        </w:tc>
        <w:tc>
          <w:tcPr>
            <w:tcW w:w="1080" w:type="dxa"/>
            <w:tcBorders>
              <w:tl2br w:val="nil"/>
              <w:tr2bl w:val="nil"/>
            </w:tcBorders>
            <w:tcMar>
              <w:top w:w="19" w:type="dxa"/>
              <w:left w:w="19" w:type="dxa"/>
              <w:bottom w:w="0" w:type="dxa"/>
              <w:right w:w="19" w:type="dxa"/>
            </w:tcMar>
            <w:vAlign w:val="center"/>
          </w:tcPr>
          <w:p>
            <w:pPr>
              <w:jc w:val="center"/>
              <w:rPr>
                <w:rFonts w:hint="default" w:eastAsia="仿宋" w:asciiTheme="minorHAnsi" w:hAnsiTheme="minorHAnsi" w:cstheme="minorBidi"/>
                <w:color w:val="auto"/>
                <w:kern w:val="2"/>
                <w:sz w:val="24"/>
                <w:szCs w:val="24"/>
                <w:highlight w:val="none"/>
                <w:lang w:val="en-US" w:eastAsia="zh-CN" w:bidi="ar-SA"/>
              </w:rPr>
            </w:pPr>
            <w:r>
              <w:rPr>
                <w:rFonts w:hint="eastAsia" w:eastAsia="仿宋"/>
                <w:color w:val="auto"/>
                <w:sz w:val="24"/>
                <w:highlight w:val="none"/>
                <w:lang w:val="en-US" w:eastAsia="zh-CN"/>
              </w:rPr>
              <w:t>100</w:t>
            </w:r>
          </w:p>
        </w:tc>
        <w:tc>
          <w:tcPr>
            <w:tcW w:w="1097" w:type="dxa"/>
            <w:tcBorders>
              <w:tl2br w:val="nil"/>
              <w:tr2bl w:val="nil"/>
            </w:tcBorders>
            <w:vAlign w:val="center"/>
          </w:tcPr>
          <w:p>
            <w:pPr>
              <w:jc w:val="center"/>
              <w:rPr>
                <w:rFonts w:eastAsia="仿宋_GB2312"/>
                <w:color w:val="auto"/>
                <w:sz w:val="24"/>
                <w:highlight w:val="none"/>
              </w:rPr>
            </w:pPr>
            <w:r>
              <w:rPr>
                <w:rFonts w:hint="eastAsia" w:eastAsia="仿宋_GB2312"/>
                <w:color w:val="auto"/>
                <w:sz w:val="24"/>
                <w:highlight w:val="none"/>
              </w:rPr>
              <w:t>约束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590" w:type="dxa"/>
            <w:tcBorders>
              <w:tl2br w:val="nil"/>
              <w:tr2bl w:val="nil"/>
            </w:tcBorders>
            <w:tcMar>
              <w:top w:w="19" w:type="dxa"/>
              <w:left w:w="19" w:type="dxa"/>
              <w:bottom w:w="0" w:type="dxa"/>
              <w:right w:w="19" w:type="dxa"/>
            </w:tcMar>
            <w:vAlign w:val="center"/>
          </w:tcPr>
          <w:p>
            <w:pPr>
              <w:numPr>
                <w:ilvl w:val="0"/>
                <w:numId w:val="2"/>
              </w:numPr>
              <w:jc w:val="right"/>
              <w:rPr>
                <w:rFonts w:eastAsia="仿宋_GB2312"/>
                <w:bCs/>
                <w:color w:val="auto"/>
                <w:sz w:val="24"/>
                <w:highlight w:val="none"/>
              </w:rPr>
            </w:pPr>
          </w:p>
        </w:tc>
        <w:tc>
          <w:tcPr>
            <w:tcW w:w="5598" w:type="dxa"/>
            <w:tcBorders>
              <w:tl2br w:val="nil"/>
              <w:tr2bl w:val="nil"/>
            </w:tcBorders>
            <w:tcMar>
              <w:top w:w="19" w:type="dxa"/>
              <w:left w:w="19" w:type="dxa"/>
              <w:bottom w:w="0" w:type="dxa"/>
              <w:right w:w="19" w:type="dxa"/>
            </w:tcMar>
            <w:vAlign w:val="center"/>
          </w:tcPr>
          <w:p>
            <w:pPr>
              <w:rPr>
                <w:rFonts w:eastAsia="仿宋_GB2312"/>
                <w:bCs/>
                <w:color w:val="auto"/>
                <w:sz w:val="24"/>
                <w:highlight w:val="none"/>
              </w:rPr>
            </w:pPr>
            <w:r>
              <w:rPr>
                <w:rFonts w:hint="eastAsia" w:eastAsia="仿宋_GB2312"/>
                <w:bCs/>
                <w:color w:val="auto"/>
                <w:sz w:val="24"/>
                <w:highlight w:val="none"/>
              </w:rPr>
              <w:t>地表水劣</w:t>
            </w:r>
            <w:r>
              <w:rPr>
                <w:rFonts w:hint="eastAsia" w:eastAsia="仿宋_GB2312"/>
                <w:bCs/>
                <w:color w:val="auto"/>
                <w:sz w:val="24"/>
                <w:highlight w:val="none"/>
              </w:rPr>
              <w:fldChar w:fldCharType="begin"/>
            </w:r>
            <w:r>
              <w:rPr>
                <w:rFonts w:hint="eastAsia" w:eastAsia="仿宋_GB2312"/>
                <w:bCs/>
                <w:color w:val="auto"/>
                <w:sz w:val="24"/>
                <w:highlight w:val="none"/>
              </w:rPr>
              <w:instrText xml:space="preserve"> = 5 \* ROMAN \* MERGEFORMAT </w:instrText>
            </w:r>
            <w:r>
              <w:rPr>
                <w:rFonts w:hint="eastAsia" w:eastAsia="仿宋_GB2312"/>
                <w:bCs/>
                <w:color w:val="auto"/>
                <w:sz w:val="24"/>
                <w:highlight w:val="none"/>
              </w:rPr>
              <w:fldChar w:fldCharType="separate"/>
            </w:r>
            <w:r>
              <w:rPr>
                <w:color w:val="auto"/>
                <w:highlight w:val="none"/>
              </w:rPr>
              <w:t>V</w:t>
            </w:r>
            <w:r>
              <w:rPr>
                <w:rFonts w:hint="eastAsia" w:eastAsia="仿宋_GB2312"/>
                <w:bCs/>
                <w:color w:val="auto"/>
                <w:sz w:val="24"/>
                <w:highlight w:val="none"/>
              </w:rPr>
              <w:fldChar w:fldCharType="end"/>
            </w:r>
            <w:r>
              <w:rPr>
                <w:rFonts w:hint="eastAsia" w:eastAsia="仿宋_GB2312"/>
                <w:bCs/>
                <w:color w:val="auto"/>
                <w:sz w:val="24"/>
                <w:highlight w:val="none"/>
              </w:rPr>
              <w:t>类水体比例</w:t>
            </w:r>
            <w:r>
              <w:rPr>
                <w:rFonts w:hint="eastAsia" w:ascii="Times New Roman" w:hAnsi="Times New Roman" w:eastAsia="仿宋_GB2312" w:cs="Times New Roman"/>
                <w:bCs/>
                <w:color w:val="auto"/>
                <w:sz w:val="24"/>
                <w:highlight w:val="none"/>
              </w:rPr>
              <w:t>（%）</w:t>
            </w:r>
          </w:p>
        </w:tc>
        <w:tc>
          <w:tcPr>
            <w:tcW w:w="1251" w:type="dxa"/>
            <w:tcBorders>
              <w:tl2br w:val="nil"/>
              <w:tr2bl w:val="nil"/>
            </w:tcBorders>
            <w:tcMar>
              <w:top w:w="19" w:type="dxa"/>
              <w:left w:w="19" w:type="dxa"/>
              <w:bottom w:w="0" w:type="dxa"/>
              <w:right w:w="19" w:type="dxa"/>
            </w:tcMar>
            <w:vAlign w:val="center"/>
          </w:tcPr>
          <w:p>
            <w:pPr>
              <w:jc w:val="center"/>
              <w:rPr>
                <w:rFonts w:hint="eastAsia" w:eastAsia="仿宋_GB2312" w:asciiTheme="minorHAnsi" w:hAnsiTheme="minorHAnsi" w:cstheme="minorBidi"/>
                <w:bCs/>
                <w:color w:val="auto"/>
                <w:kern w:val="2"/>
                <w:sz w:val="24"/>
                <w:szCs w:val="24"/>
                <w:highlight w:val="none"/>
                <w:lang w:val="en-US" w:eastAsia="zh-CN" w:bidi="ar-SA"/>
              </w:rPr>
            </w:pPr>
            <w:r>
              <w:rPr>
                <w:rFonts w:hint="eastAsia" w:eastAsia="仿宋_GB2312"/>
                <w:bCs/>
                <w:color w:val="auto"/>
                <w:sz w:val="24"/>
                <w:highlight w:val="none"/>
                <w:lang w:val="en-US" w:eastAsia="zh-CN"/>
              </w:rPr>
              <w:t>0</w:t>
            </w:r>
          </w:p>
        </w:tc>
        <w:tc>
          <w:tcPr>
            <w:tcW w:w="1080" w:type="dxa"/>
            <w:tcBorders>
              <w:tl2br w:val="nil"/>
              <w:tr2bl w:val="nil"/>
            </w:tcBorders>
            <w:tcMar>
              <w:top w:w="19" w:type="dxa"/>
              <w:left w:w="19" w:type="dxa"/>
              <w:bottom w:w="0" w:type="dxa"/>
              <w:right w:w="19" w:type="dxa"/>
            </w:tcMar>
            <w:vAlign w:val="center"/>
          </w:tcPr>
          <w:p>
            <w:pPr>
              <w:jc w:val="center"/>
              <w:rPr>
                <w:rFonts w:hint="eastAsia" w:eastAsia="仿宋_GB2312" w:asciiTheme="minorHAnsi" w:hAnsiTheme="minorHAnsi" w:cstheme="minorBidi"/>
                <w:bCs/>
                <w:color w:val="auto"/>
                <w:kern w:val="2"/>
                <w:sz w:val="24"/>
                <w:szCs w:val="24"/>
                <w:highlight w:val="none"/>
                <w:lang w:val="en-US" w:eastAsia="zh-CN" w:bidi="ar-SA"/>
              </w:rPr>
            </w:pPr>
            <w:r>
              <w:rPr>
                <w:rFonts w:hint="eastAsia" w:eastAsia="仿宋_GB2312"/>
                <w:bCs/>
                <w:color w:val="auto"/>
                <w:sz w:val="24"/>
                <w:highlight w:val="none"/>
                <w:lang w:val="en-US" w:eastAsia="zh-CN"/>
              </w:rPr>
              <w:t>0</w:t>
            </w:r>
          </w:p>
        </w:tc>
        <w:tc>
          <w:tcPr>
            <w:tcW w:w="1097" w:type="dxa"/>
            <w:tcBorders>
              <w:tl2br w:val="nil"/>
              <w:tr2bl w:val="nil"/>
            </w:tcBorders>
            <w:vAlign w:val="center"/>
          </w:tcPr>
          <w:p>
            <w:pPr>
              <w:jc w:val="center"/>
              <w:rPr>
                <w:rFonts w:eastAsia="仿宋_GB2312"/>
                <w:bCs/>
                <w:color w:val="auto"/>
                <w:sz w:val="24"/>
                <w:highlight w:val="none"/>
              </w:rPr>
            </w:pPr>
            <w:r>
              <w:rPr>
                <w:rFonts w:hint="eastAsia" w:eastAsia="仿宋_GB2312"/>
                <w:bCs/>
                <w:color w:val="auto"/>
                <w:sz w:val="24"/>
                <w:highlight w:val="none"/>
              </w:rPr>
              <w:t>约束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590" w:type="dxa"/>
            <w:tcBorders>
              <w:tl2br w:val="nil"/>
              <w:tr2bl w:val="nil"/>
            </w:tcBorders>
            <w:tcMar>
              <w:top w:w="19" w:type="dxa"/>
              <w:left w:w="19" w:type="dxa"/>
              <w:bottom w:w="0" w:type="dxa"/>
              <w:right w:w="19" w:type="dxa"/>
            </w:tcMar>
            <w:vAlign w:val="center"/>
          </w:tcPr>
          <w:p>
            <w:pPr>
              <w:numPr>
                <w:ilvl w:val="0"/>
                <w:numId w:val="2"/>
              </w:numPr>
              <w:jc w:val="right"/>
              <w:rPr>
                <w:rFonts w:eastAsia="仿宋_GB2312"/>
                <w:bCs/>
                <w:color w:val="auto"/>
                <w:sz w:val="24"/>
                <w:highlight w:val="none"/>
              </w:rPr>
            </w:pPr>
          </w:p>
        </w:tc>
        <w:tc>
          <w:tcPr>
            <w:tcW w:w="5598" w:type="dxa"/>
            <w:tcBorders>
              <w:tl2br w:val="nil"/>
              <w:tr2bl w:val="nil"/>
            </w:tcBorders>
            <w:tcMar>
              <w:top w:w="19" w:type="dxa"/>
              <w:left w:w="19" w:type="dxa"/>
              <w:bottom w:w="0" w:type="dxa"/>
              <w:right w:w="19" w:type="dxa"/>
            </w:tcMar>
            <w:vAlign w:val="center"/>
          </w:tcPr>
          <w:p>
            <w:pPr>
              <w:rPr>
                <w:rFonts w:hint="eastAsia" w:eastAsia="仿宋_GB2312"/>
                <w:bCs/>
                <w:color w:val="auto"/>
                <w:sz w:val="24"/>
                <w:highlight w:val="none"/>
              </w:rPr>
            </w:pPr>
            <w:r>
              <w:rPr>
                <w:rFonts w:hint="eastAsia" w:eastAsia="仿宋_GB2312"/>
                <w:bCs/>
                <w:color w:val="auto"/>
                <w:sz w:val="24"/>
                <w:highlight w:val="none"/>
              </w:rPr>
              <w:t>地</w:t>
            </w:r>
            <w:r>
              <w:rPr>
                <w:rFonts w:hint="eastAsia" w:eastAsia="仿宋_GB2312"/>
                <w:bCs/>
                <w:color w:val="auto"/>
                <w:sz w:val="24"/>
                <w:highlight w:val="none"/>
                <w:lang w:val="en-US" w:eastAsia="zh-CN"/>
              </w:rPr>
              <w:t>下</w:t>
            </w:r>
            <w:r>
              <w:rPr>
                <w:rFonts w:hint="eastAsia" w:eastAsia="仿宋_GB2312"/>
                <w:bCs/>
                <w:color w:val="auto"/>
                <w:sz w:val="24"/>
                <w:highlight w:val="none"/>
              </w:rPr>
              <w:t>水质量</w:t>
            </w:r>
          </w:p>
        </w:tc>
        <w:tc>
          <w:tcPr>
            <w:tcW w:w="1251" w:type="dxa"/>
            <w:tcBorders>
              <w:tl2br w:val="nil"/>
              <w:tr2bl w:val="nil"/>
            </w:tcBorders>
            <w:tcMar>
              <w:top w:w="19" w:type="dxa"/>
              <w:left w:w="19" w:type="dxa"/>
              <w:bottom w:w="0" w:type="dxa"/>
              <w:right w:w="19" w:type="dxa"/>
            </w:tcMar>
            <w:vAlign w:val="center"/>
          </w:tcPr>
          <w:p>
            <w:pPr>
              <w:jc w:val="center"/>
              <w:rPr>
                <w:rFonts w:hint="eastAsia" w:eastAsia="仿宋_GB2312" w:asciiTheme="minorHAnsi" w:hAnsiTheme="minorHAnsi" w:cstheme="minorBidi"/>
                <w:bCs/>
                <w:color w:val="auto"/>
                <w:kern w:val="2"/>
                <w:sz w:val="24"/>
                <w:szCs w:val="24"/>
                <w:highlight w:val="none"/>
                <w:lang w:val="en-US" w:eastAsia="zh-CN" w:bidi="ar-SA"/>
              </w:rPr>
            </w:pPr>
            <w:r>
              <w:rPr>
                <w:rFonts w:hint="eastAsia" w:eastAsia="仿宋_GB2312" w:cstheme="minorBidi"/>
                <w:bCs/>
                <w:color w:val="auto"/>
                <w:kern w:val="2"/>
                <w:sz w:val="24"/>
                <w:szCs w:val="24"/>
                <w:highlight w:val="none"/>
                <w:lang w:val="en-US" w:eastAsia="zh-CN" w:bidi="ar-SA"/>
              </w:rPr>
              <w:t>—</w:t>
            </w:r>
          </w:p>
        </w:tc>
        <w:tc>
          <w:tcPr>
            <w:tcW w:w="1080" w:type="dxa"/>
            <w:tcBorders>
              <w:tl2br w:val="nil"/>
              <w:tr2bl w:val="nil"/>
            </w:tcBorders>
            <w:tcMar>
              <w:top w:w="19" w:type="dxa"/>
              <w:left w:w="19" w:type="dxa"/>
              <w:bottom w:w="0" w:type="dxa"/>
              <w:right w:w="19" w:type="dxa"/>
            </w:tcMar>
            <w:vAlign w:val="center"/>
          </w:tcPr>
          <w:p>
            <w:pPr>
              <w:jc w:val="center"/>
              <w:rPr>
                <w:rFonts w:hint="default" w:eastAsia="仿宋_GB2312" w:asciiTheme="minorHAnsi" w:hAnsiTheme="minorHAnsi" w:cstheme="minorBidi"/>
                <w:bCs/>
                <w:color w:val="auto"/>
                <w:kern w:val="2"/>
                <w:sz w:val="24"/>
                <w:szCs w:val="24"/>
                <w:highlight w:val="none"/>
                <w:lang w:val="en-US" w:eastAsia="zh-CN" w:bidi="ar-SA"/>
              </w:rPr>
            </w:pPr>
            <w:r>
              <w:rPr>
                <w:rFonts w:hint="eastAsia" w:eastAsia="仿宋_GB2312" w:cstheme="minorBidi"/>
                <w:bCs/>
                <w:color w:val="auto"/>
                <w:kern w:val="2"/>
                <w:sz w:val="24"/>
                <w:szCs w:val="24"/>
                <w:highlight w:val="none"/>
                <w:lang w:val="en-US" w:eastAsia="zh-CN" w:bidi="ar-SA"/>
              </w:rPr>
              <w:t>达到或优于</w:t>
            </w:r>
            <w:r>
              <w:rPr>
                <w:rFonts w:hint="eastAsia" w:eastAsia="仿宋_GB2312"/>
                <w:bCs/>
                <w:color w:val="auto"/>
                <w:sz w:val="24"/>
                <w:highlight w:val="none"/>
              </w:rPr>
              <w:fldChar w:fldCharType="begin"/>
            </w:r>
            <w:r>
              <w:rPr>
                <w:rFonts w:hint="eastAsia" w:eastAsia="仿宋_GB2312"/>
                <w:bCs/>
                <w:color w:val="auto"/>
                <w:sz w:val="24"/>
                <w:highlight w:val="none"/>
              </w:rPr>
              <w:instrText xml:space="preserve"> = 5 \* ROMAN \* MERGEFORMAT </w:instrText>
            </w:r>
            <w:r>
              <w:rPr>
                <w:rFonts w:hint="eastAsia" w:eastAsia="仿宋_GB2312"/>
                <w:bCs/>
                <w:color w:val="auto"/>
                <w:sz w:val="24"/>
                <w:highlight w:val="none"/>
              </w:rPr>
              <w:fldChar w:fldCharType="separate"/>
            </w:r>
            <w:r>
              <w:rPr>
                <w:color w:val="auto"/>
                <w:highlight w:val="none"/>
              </w:rPr>
              <w:t>V</w:t>
            </w:r>
            <w:r>
              <w:rPr>
                <w:rFonts w:hint="eastAsia" w:eastAsia="仿宋_GB2312"/>
                <w:bCs/>
                <w:color w:val="auto"/>
                <w:sz w:val="24"/>
                <w:highlight w:val="none"/>
              </w:rPr>
              <w:fldChar w:fldCharType="end"/>
            </w:r>
            <w:r>
              <w:rPr>
                <w:rFonts w:hint="eastAsia" w:eastAsia="仿宋_GB2312"/>
                <w:bCs/>
                <w:color w:val="auto"/>
                <w:sz w:val="24"/>
                <w:highlight w:val="none"/>
              </w:rPr>
              <w:t>类水体</w:t>
            </w:r>
          </w:p>
        </w:tc>
        <w:tc>
          <w:tcPr>
            <w:tcW w:w="1097" w:type="dxa"/>
            <w:tcBorders>
              <w:tl2br w:val="nil"/>
              <w:tr2bl w:val="nil"/>
            </w:tcBorders>
            <w:vAlign w:val="center"/>
          </w:tcPr>
          <w:p>
            <w:pPr>
              <w:jc w:val="center"/>
              <w:rPr>
                <w:rFonts w:hint="eastAsia" w:eastAsia="仿宋_GB2312"/>
                <w:bCs/>
                <w:color w:val="auto"/>
                <w:sz w:val="24"/>
                <w:highlight w:val="none"/>
                <w:lang w:eastAsia="zh-CN"/>
              </w:rPr>
            </w:pPr>
            <w:r>
              <w:rPr>
                <w:rFonts w:hint="eastAsia" w:eastAsia="仿宋_GB2312"/>
                <w:bCs/>
                <w:color w:val="auto"/>
                <w:sz w:val="24"/>
                <w:highlight w:val="none"/>
                <w:lang w:val="en-US" w:eastAsia="zh-CN"/>
              </w:rPr>
              <w:t>预期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590" w:type="dxa"/>
            <w:tcBorders>
              <w:tl2br w:val="nil"/>
              <w:tr2bl w:val="nil"/>
            </w:tcBorders>
            <w:tcMar>
              <w:top w:w="19" w:type="dxa"/>
              <w:left w:w="19" w:type="dxa"/>
              <w:bottom w:w="0" w:type="dxa"/>
              <w:right w:w="19" w:type="dxa"/>
            </w:tcMar>
            <w:vAlign w:val="center"/>
          </w:tcPr>
          <w:p>
            <w:pPr>
              <w:numPr>
                <w:ilvl w:val="0"/>
                <w:numId w:val="2"/>
              </w:numPr>
              <w:jc w:val="right"/>
              <w:rPr>
                <w:rFonts w:eastAsia="仿宋_GB2312"/>
                <w:bCs/>
                <w:color w:val="auto"/>
                <w:sz w:val="24"/>
                <w:highlight w:val="none"/>
              </w:rPr>
            </w:pPr>
          </w:p>
        </w:tc>
        <w:tc>
          <w:tcPr>
            <w:tcW w:w="5598" w:type="dxa"/>
            <w:tcBorders>
              <w:tl2br w:val="nil"/>
              <w:tr2bl w:val="nil"/>
            </w:tcBorders>
            <w:tcMar>
              <w:top w:w="19" w:type="dxa"/>
              <w:left w:w="19" w:type="dxa"/>
              <w:bottom w:w="0" w:type="dxa"/>
              <w:right w:w="19" w:type="dxa"/>
            </w:tcMar>
            <w:vAlign w:val="center"/>
          </w:tcPr>
          <w:p>
            <w:pPr>
              <w:rPr>
                <w:rFonts w:eastAsia="仿宋_GB2312"/>
                <w:bCs/>
                <w:color w:val="auto"/>
                <w:sz w:val="24"/>
                <w:highlight w:val="none"/>
              </w:rPr>
            </w:pPr>
            <w:r>
              <w:rPr>
                <w:rFonts w:hint="eastAsia" w:ascii="Times New Roman" w:hAnsi="Times New Roman" w:eastAsia="仿宋" w:cs="Times New Roman"/>
                <w:color w:val="auto"/>
                <w:sz w:val="24"/>
                <w:highlight w:val="none"/>
                <w:lang w:val="en-US" w:eastAsia="zh-CN"/>
              </w:rPr>
              <w:t>城市</w:t>
            </w:r>
            <w:r>
              <w:rPr>
                <w:rFonts w:hint="eastAsia" w:ascii="Times New Roman" w:hAnsi="Times New Roman" w:eastAsia="仿宋" w:cs="Times New Roman"/>
                <w:color w:val="auto"/>
                <w:sz w:val="24"/>
                <w:highlight w:val="none"/>
              </w:rPr>
              <w:t>黑臭水体比例</w:t>
            </w:r>
            <w:r>
              <w:rPr>
                <w:rFonts w:ascii="Times New Roman" w:hAnsi="Times New Roman" w:eastAsia="仿宋" w:cs="Times New Roman"/>
                <w:color w:val="auto"/>
                <w:sz w:val="24"/>
                <w:highlight w:val="none"/>
              </w:rPr>
              <w:t>(%)</w:t>
            </w:r>
          </w:p>
        </w:tc>
        <w:tc>
          <w:tcPr>
            <w:tcW w:w="1251" w:type="dxa"/>
            <w:tcBorders>
              <w:tl2br w:val="nil"/>
              <w:tr2bl w:val="nil"/>
            </w:tcBorders>
            <w:tcMar>
              <w:top w:w="19" w:type="dxa"/>
              <w:left w:w="19" w:type="dxa"/>
              <w:bottom w:w="0" w:type="dxa"/>
              <w:right w:w="19" w:type="dxa"/>
            </w:tcMar>
            <w:vAlign w:val="center"/>
          </w:tcPr>
          <w:p>
            <w:pPr>
              <w:jc w:val="center"/>
              <w:rPr>
                <w:rFonts w:hint="eastAsia" w:eastAsia="仿宋_GB2312"/>
                <w:bCs/>
                <w:color w:val="auto"/>
                <w:sz w:val="24"/>
                <w:highlight w:val="none"/>
                <w:lang w:val="en-US" w:eastAsia="zh-CN"/>
              </w:rPr>
            </w:pPr>
            <w:r>
              <w:rPr>
                <w:rFonts w:hint="eastAsia" w:eastAsia="仿宋_GB2312"/>
                <w:bCs/>
                <w:color w:val="auto"/>
                <w:sz w:val="24"/>
                <w:highlight w:val="none"/>
                <w:lang w:val="en-US" w:eastAsia="zh-CN"/>
              </w:rPr>
              <w:t>0</w:t>
            </w:r>
          </w:p>
        </w:tc>
        <w:tc>
          <w:tcPr>
            <w:tcW w:w="1080" w:type="dxa"/>
            <w:tcBorders>
              <w:tl2br w:val="nil"/>
              <w:tr2bl w:val="nil"/>
            </w:tcBorders>
            <w:tcMar>
              <w:top w:w="19" w:type="dxa"/>
              <w:left w:w="19" w:type="dxa"/>
              <w:bottom w:w="0" w:type="dxa"/>
              <w:right w:w="19" w:type="dxa"/>
            </w:tcMar>
            <w:vAlign w:val="center"/>
          </w:tcPr>
          <w:p>
            <w:pPr>
              <w:jc w:val="center"/>
              <w:rPr>
                <w:rFonts w:hint="default" w:eastAsia="仿宋_GB2312"/>
                <w:bCs/>
                <w:color w:val="auto"/>
                <w:sz w:val="30"/>
                <w:szCs w:val="30"/>
                <w:highlight w:val="none"/>
                <w:lang w:val="en-US" w:eastAsia="zh-CN"/>
              </w:rPr>
            </w:pPr>
            <w:r>
              <w:rPr>
                <w:rFonts w:hint="eastAsia" w:eastAsia="仿宋_GB2312"/>
                <w:bCs/>
                <w:color w:val="auto"/>
                <w:sz w:val="24"/>
                <w:highlight w:val="none"/>
                <w:lang w:val="en-US" w:eastAsia="zh-CN"/>
              </w:rPr>
              <w:t>彻底消除</w:t>
            </w:r>
          </w:p>
        </w:tc>
        <w:tc>
          <w:tcPr>
            <w:tcW w:w="1097" w:type="dxa"/>
            <w:tcBorders>
              <w:tl2br w:val="nil"/>
              <w:tr2bl w:val="nil"/>
            </w:tcBorders>
            <w:vAlign w:val="center"/>
          </w:tcPr>
          <w:p>
            <w:pPr>
              <w:jc w:val="center"/>
              <w:rPr>
                <w:rFonts w:hint="default" w:eastAsia="仿宋_GB2312"/>
                <w:bCs/>
                <w:color w:val="auto"/>
                <w:sz w:val="24"/>
                <w:highlight w:val="none"/>
                <w:lang w:val="en-US" w:eastAsia="zh-CN"/>
              </w:rPr>
            </w:pPr>
            <w:r>
              <w:rPr>
                <w:rFonts w:hint="eastAsia" w:eastAsia="仿宋_GB2312"/>
                <w:bCs/>
                <w:color w:val="auto"/>
                <w:sz w:val="24"/>
                <w:highlight w:val="none"/>
                <w:lang w:val="en-US" w:eastAsia="zh-CN"/>
              </w:rPr>
              <w:t>预期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590" w:type="dxa"/>
            <w:tcBorders>
              <w:tl2br w:val="nil"/>
              <w:tr2bl w:val="nil"/>
            </w:tcBorders>
            <w:tcMar>
              <w:top w:w="19" w:type="dxa"/>
              <w:left w:w="19" w:type="dxa"/>
              <w:bottom w:w="0" w:type="dxa"/>
              <w:right w:w="19" w:type="dxa"/>
            </w:tcMar>
            <w:vAlign w:val="center"/>
          </w:tcPr>
          <w:p>
            <w:pPr>
              <w:numPr>
                <w:ilvl w:val="0"/>
                <w:numId w:val="2"/>
              </w:numPr>
              <w:jc w:val="right"/>
              <w:rPr>
                <w:rFonts w:eastAsia="仿宋_GB2312"/>
                <w:bCs/>
                <w:color w:val="auto"/>
                <w:sz w:val="24"/>
                <w:highlight w:val="none"/>
              </w:rPr>
            </w:pPr>
          </w:p>
        </w:tc>
        <w:tc>
          <w:tcPr>
            <w:tcW w:w="5598" w:type="dxa"/>
            <w:tcBorders>
              <w:tl2br w:val="nil"/>
              <w:tr2bl w:val="nil"/>
            </w:tcBorders>
            <w:tcMar>
              <w:top w:w="19" w:type="dxa"/>
              <w:left w:w="19" w:type="dxa"/>
              <w:bottom w:w="0" w:type="dxa"/>
              <w:right w:w="19" w:type="dxa"/>
            </w:tcMar>
            <w:vAlign w:val="center"/>
          </w:tcPr>
          <w:p>
            <w:pPr>
              <w:rPr>
                <w:rFonts w:ascii="Times New Roman" w:hAnsi="Times New Roman" w:eastAsia="仿宋_GB2312" w:cs="Times New Roman"/>
                <w:bCs/>
                <w:color w:val="auto"/>
                <w:sz w:val="24"/>
                <w:highlight w:val="none"/>
              </w:rPr>
            </w:pPr>
            <w:r>
              <w:rPr>
                <w:rFonts w:hint="eastAsia" w:ascii="Times New Roman" w:hAnsi="Times New Roman" w:eastAsia="仿宋_GB2312" w:cs="Times New Roman"/>
                <w:bCs/>
                <w:color w:val="auto"/>
                <w:sz w:val="24"/>
                <w:highlight w:val="none"/>
              </w:rPr>
              <w:t>城市</w:t>
            </w:r>
            <w:r>
              <w:rPr>
                <w:rFonts w:hint="eastAsia" w:ascii="Times New Roman" w:hAnsi="Times New Roman" w:eastAsia="仿宋_GB2312" w:cs="Times New Roman"/>
                <w:bCs/>
                <w:color w:val="auto"/>
                <w:sz w:val="24"/>
                <w:highlight w:val="none"/>
                <w:lang w:val="en-US" w:eastAsia="zh-CN"/>
              </w:rPr>
              <w:t>及以上城市</w:t>
            </w:r>
            <w:r>
              <w:rPr>
                <w:rFonts w:hint="eastAsia" w:ascii="Times New Roman" w:hAnsi="Times New Roman" w:eastAsia="仿宋_GB2312" w:cs="Times New Roman"/>
                <w:bCs/>
                <w:color w:val="auto"/>
                <w:sz w:val="24"/>
                <w:highlight w:val="none"/>
              </w:rPr>
              <w:t>集中式饮用水水源达到或优于</w:t>
            </w:r>
            <w:r>
              <w:rPr>
                <w:rFonts w:hint="eastAsia" w:ascii="Times New Roman" w:hAnsi="Times New Roman" w:eastAsia="仿宋_GB2312" w:cs="Times New Roman"/>
                <w:bCs/>
                <w:color w:val="auto"/>
                <w:sz w:val="24"/>
                <w:highlight w:val="none"/>
              </w:rPr>
              <w:fldChar w:fldCharType="begin"/>
            </w:r>
            <w:r>
              <w:rPr>
                <w:rFonts w:hint="eastAsia" w:ascii="Times New Roman" w:hAnsi="Times New Roman" w:eastAsia="仿宋_GB2312" w:cs="Times New Roman"/>
                <w:bCs/>
                <w:color w:val="auto"/>
                <w:sz w:val="24"/>
                <w:highlight w:val="none"/>
              </w:rPr>
              <w:instrText xml:space="preserve"> = 3 \* ROMAN \* MERGEFORMAT </w:instrText>
            </w:r>
            <w:r>
              <w:rPr>
                <w:rFonts w:hint="eastAsia" w:ascii="Times New Roman" w:hAnsi="Times New Roman" w:eastAsia="仿宋_GB2312" w:cs="Times New Roman"/>
                <w:bCs/>
                <w:color w:val="auto"/>
                <w:sz w:val="24"/>
                <w:highlight w:val="none"/>
              </w:rPr>
              <w:fldChar w:fldCharType="separate"/>
            </w:r>
            <w:r>
              <w:rPr>
                <w:color w:val="auto"/>
                <w:highlight w:val="none"/>
              </w:rPr>
              <w:t>III</w:t>
            </w:r>
            <w:r>
              <w:rPr>
                <w:rFonts w:hint="eastAsia" w:ascii="Times New Roman" w:hAnsi="Times New Roman" w:eastAsia="仿宋_GB2312" w:cs="Times New Roman"/>
                <w:bCs/>
                <w:color w:val="auto"/>
                <w:sz w:val="24"/>
                <w:highlight w:val="none"/>
              </w:rPr>
              <w:fldChar w:fldCharType="end"/>
            </w:r>
            <w:r>
              <w:rPr>
                <w:rFonts w:hint="eastAsia" w:ascii="Times New Roman" w:hAnsi="Times New Roman" w:eastAsia="仿宋_GB2312" w:cs="Times New Roman"/>
                <w:bCs/>
                <w:color w:val="auto"/>
                <w:sz w:val="24"/>
                <w:highlight w:val="none"/>
              </w:rPr>
              <w:t>类比例（%）</w:t>
            </w:r>
          </w:p>
        </w:tc>
        <w:tc>
          <w:tcPr>
            <w:tcW w:w="1251" w:type="dxa"/>
            <w:tcBorders>
              <w:tl2br w:val="nil"/>
              <w:tr2bl w:val="nil"/>
            </w:tcBorders>
            <w:tcMar>
              <w:top w:w="19" w:type="dxa"/>
              <w:left w:w="19" w:type="dxa"/>
              <w:bottom w:w="0" w:type="dxa"/>
              <w:right w:w="19" w:type="dxa"/>
            </w:tcMar>
            <w:vAlign w:val="center"/>
          </w:tcPr>
          <w:p>
            <w:pPr>
              <w:jc w:val="center"/>
              <w:rPr>
                <w:rFonts w:hint="default" w:ascii="Times New Roman" w:hAnsi="Times New Roman" w:eastAsia="仿宋_GB2312" w:cs="Times New Roman"/>
                <w:bCs/>
                <w:color w:val="auto"/>
                <w:sz w:val="24"/>
                <w:highlight w:val="none"/>
                <w:lang w:val="en-US" w:eastAsia="zh-CN"/>
              </w:rPr>
            </w:pPr>
            <w:r>
              <w:rPr>
                <w:rFonts w:hint="eastAsia" w:ascii="Times New Roman" w:hAnsi="Times New Roman" w:eastAsia="仿宋_GB2312" w:cs="Times New Roman"/>
                <w:bCs/>
                <w:color w:val="auto"/>
                <w:sz w:val="24"/>
                <w:highlight w:val="none"/>
                <w:lang w:val="en-US" w:eastAsia="zh-CN"/>
              </w:rPr>
              <w:t>100</w:t>
            </w:r>
          </w:p>
        </w:tc>
        <w:tc>
          <w:tcPr>
            <w:tcW w:w="1080" w:type="dxa"/>
            <w:tcBorders>
              <w:tl2br w:val="nil"/>
              <w:tr2bl w:val="nil"/>
            </w:tcBorders>
            <w:tcMar>
              <w:top w:w="19" w:type="dxa"/>
              <w:left w:w="19" w:type="dxa"/>
              <w:bottom w:w="0" w:type="dxa"/>
              <w:right w:w="19" w:type="dxa"/>
            </w:tcMar>
            <w:vAlign w:val="center"/>
          </w:tcPr>
          <w:p>
            <w:pPr>
              <w:jc w:val="center"/>
              <w:rPr>
                <w:rFonts w:hint="default" w:ascii="Times New Roman" w:hAnsi="Times New Roman" w:eastAsia="仿宋_GB2312" w:cs="Times New Roman"/>
                <w:bCs/>
                <w:color w:val="auto"/>
                <w:sz w:val="24"/>
                <w:highlight w:val="none"/>
                <w:lang w:val="en-US" w:eastAsia="zh-CN"/>
              </w:rPr>
            </w:pPr>
            <w:r>
              <w:rPr>
                <w:rFonts w:hint="eastAsia" w:ascii="Times New Roman" w:hAnsi="Times New Roman" w:eastAsia="仿宋_GB2312" w:cs="Times New Roman"/>
                <w:bCs/>
                <w:color w:val="auto"/>
                <w:sz w:val="24"/>
                <w:highlight w:val="none"/>
                <w:lang w:val="en-US" w:eastAsia="zh-CN"/>
              </w:rPr>
              <w:t>100</w:t>
            </w:r>
          </w:p>
        </w:tc>
        <w:tc>
          <w:tcPr>
            <w:tcW w:w="1097" w:type="dxa"/>
            <w:tcBorders>
              <w:tl2br w:val="nil"/>
              <w:tr2bl w:val="nil"/>
            </w:tcBorders>
            <w:vAlign w:val="center"/>
          </w:tcPr>
          <w:p>
            <w:pPr>
              <w:jc w:val="center"/>
              <w:rPr>
                <w:rFonts w:ascii="Times New Roman" w:hAnsi="Times New Roman" w:eastAsia="仿宋_GB2312" w:cs="Times New Roman"/>
                <w:bCs/>
                <w:color w:val="auto"/>
                <w:sz w:val="24"/>
                <w:szCs w:val="22"/>
                <w:highlight w:val="none"/>
              </w:rPr>
            </w:pPr>
            <w:r>
              <w:rPr>
                <w:rFonts w:hint="eastAsia" w:eastAsia="仿宋_GB2312"/>
                <w:color w:val="auto"/>
                <w:sz w:val="24"/>
                <w:highlight w:val="none"/>
              </w:rPr>
              <w:t>约束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590" w:type="dxa"/>
            <w:tcBorders>
              <w:tl2br w:val="nil"/>
              <w:tr2bl w:val="nil"/>
            </w:tcBorders>
            <w:tcMar>
              <w:top w:w="19" w:type="dxa"/>
              <w:left w:w="19" w:type="dxa"/>
              <w:bottom w:w="0" w:type="dxa"/>
              <w:right w:w="19" w:type="dxa"/>
            </w:tcMar>
            <w:vAlign w:val="center"/>
          </w:tcPr>
          <w:p>
            <w:pPr>
              <w:numPr>
                <w:ilvl w:val="0"/>
                <w:numId w:val="2"/>
              </w:numPr>
              <w:jc w:val="right"/>
              <w:rPr>
                <w:rFonts w:eastAsia="仿宋_GB2312"/>
                <w:bCs/>
                <w:color w:val="auto"/>
                <w:sz w:val="24"/>
                <w:highlight w:val="none"/>
              </w:rPr>
            </w:pPr>
          </w:p>
        </w:tc>
        <w:tc>
          <w:tcPr>
            <w:tcW w:w="5598" w:type="dxa"/>
            <w:tcBorders>
              <w:tl2br w:val="nil"/>
              <w:tr2bl w:val="nil"/>
            </w:tcBorders>
            <w:tcMar>
              <w:top w:w="19" w:type="dxa"/>
              <w:left w:w="19" w:type="dxa"/>
              <w:bottom w:w="0" w:type="dxa"/>
              <w:right w:w="19" w:type="dxa"/>
            </w:tcMar>
            <w:vAlign w:val="center"/>
          </w:tcPr>
          <w:p>
            <w:pP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rPr>
              <w:t>氮氧化物、挥发性有机物减少，化学需氧量、氨氮</w:t>
            </w:r>
            <w:r>
              <w:rPr>
                <w:rFonts w:hint="eastAsia" w:ascii="Times New Roman" w:hAnsi="Times New Roman" w:eastAsia="仿宋" w:cs="Times New Roman"/>
                <w:color w:val="auto"/>
                <w:sz w:val="24"/>
                <w:highlight w:val="none"/>
                <w:lang w:val="en-US" w:eastAsia="zh-CN"/>
              </w:rPr>
              <w:t>重点工程减排量（万吨）</w:t>
            </w:r>
          </w:p>
        </w:tc>
        <w:tc>
          <w:tcPr>
            <w:tcW w:w="1251" w:type="dxa"/>
            <w:tcBorders>
              <w:tl2br w:val="nil"/>
              <w:tr2bl w:val="nil"/>
            </w:tcBorders>
            <w:tcMar>
              <w:top w:w="19" w:type="dxa"/>
              <w:left w:w="19" w:type="dxa"/>
              <w:bottom w:w="0" w:type="dxa"/>
              <w:right w:w="19" w:type="dxa"/>
            </w:tcMar>
            <w:vAlign w:val="center"/>
          </w:tcPr>
          <w:p>
            <w:pPr>
              <w:jc w:val="center"/>
              <w:rPr>
                <w:rFonts w:hint="eastAsia" w:eastAsia="仿宋_GB2312"/>
                <w:bCs/>
                <w:color w:val="auto"/>
                <w:sz w:val="24"/>
                <w:highlight w:val="none"/>
                <w:lang w:eastAsia="zh-CN"/>
              </w:rPr>
            </w:pPr>
            <w:r>
              <w:rPr>
                <w:rFonts w:hint="eastAsia" w:eastAsia="仿宋_GB2312"/>
                <w:bCs/>
                <w:color w:val="auto"/>
                <w:sz w:val="24"/>
                <w:highlight w:val="none"/>
                <w:lang w:eastAsia="zh-CN"/>
              </w:rPr>
              <w:t>较2015年下降27.4</w:t>
            </w:r>
            <w:r>
              <w:rPr>
                <w:rFonts w:hint="eastAsia" w:eastAsia="仿宋_GB2312"/>
                <w:bCs/>
                <w:color w:val="auto"/>
                <w:sz w:val="24"/>
                <w:highlight w:val="none"/>
                <w:lang w:val="en-US" w:eastAsia="zh-CN"/>
              </w:rPr>
              <w:t>1</w:t>
            </w:r>
            <w:r>
              <w:rPr>
                <w:rFonts w:hint="eastAsia" w:eastAsia="仿宋_GB2312"/>
                <w:bCs/>
                <w:color w:val="auto"/>
                <w:sz w:val="24"/>
                <w:highlight w:val="none"/>
                <w:lang w:eastAsia="zh-CN"/>
              </w:rPr>
              <w:t>%、—42.25%、11.</w:t>
            </w:r>
            <w:r>
              <w:rPr>
                <w:rFonts w:hint="eastAsia" w:eastAsia="仿宋_GB2312"/>
                <w:bCs/>
                <w:color w:val="auto"/>
                <w:sz w:val="24"/>
                <w:highlight w:val="none"/>
                <w:lang w:val="en-US" w:eastAsia="zh-CN"/>
              </w:rPr>
              <w:t>74</w:t>
            </w:r>
            <w:r>
              <w:rPr>
                <w:rFonts w:hint="eastAsia" w:eastAsia="仿宋_GB2312"/>
                <w:bCs/>
                <w:color w:val="auto"/>
                <w:sz w:val="24"/>
                <w:highlight w:val="none"/>
                <w:lang w:eastAsia="zh-CN"/>
              </w:rPr>
              <w:t>%</w:t>
            </w:r>
          </w:p>
        </w:tc>
        <w:tc>
          <w:tcPr>
            <w:tcW w:w="1080" w:type="dxa"/>
            <w:tcBorders>
              <w:tl2br w:val="nil"/>
              <w:tr2bl w:val="nil"/>
            </w:tcBorders>
            <w:tcMar>
              <w:top w:w="19" w:type="dxa"/>
              <w:left w:w="19" w:type="dxa"/>
              <w:bottom w:w="0" w:type="dxa"/>
              <w:right w:w="19" w:type="dxa"/>
            </w:tcMar>
            <w:vAlign w:val="center"/>
          </w:tcPr>
          <w:p>
            <w:pPr>
              <w:jc w:val="center"/>
              <w:rPr>
                <w:rFonts w:hint="default" w:eastAsia="仿宋_GB2312" w:cs="Times New Roman"/>
                <w:bCs/>
                <w:color w:val="auto"/>
                <w:sz w:val="24"/>
                <w:highlight w:val="none"/>
                <w:lang w:val="en-US" w:eastAsia="zh-CN"/>
              </w:rPr>
            </w:pPr>
            <w:r>
              <w:rPr>
                <w:rFonts w:hint="eastAsia" w:eastAsia="仿宋_GB2312"/>
                <w:bCs/>
                <w:color w:val="auto"/>
                <w:sz w:val="24"/>
                <w:highlight w:val="none"/>
                <w:lang w:eastAsia="zh-CN"/>
              </w:rPr>
              <w:t>较20</w:t>
            </w:r>
            <w:r>
              <w:rPr>
                <w:rFonts w:hint="eastAsia" w:eastAsia="仿宋_GB2312"/>
                <w:bCs/>
                <w:color w:val="auto"/>
                <w:sz w:val="24"/>
                <w:highlight w:val="none"/>
                <w:lang w:val="en-US" w:eastAsia="zh-CN"/>
              </w:rPr>
              <w:t>20</w:t>
            </w:r>
            <w:r>
              <w:rPr>
                <w:rFonts w:hint="eastAsia" w:eastAsia="仿宋_GB2312"/>
                <w:bCs/>
                <w:color w:val="auto"/>
                <w:sz w:val="24"/>
                <w:highlight w:val="none"/>
                <w:lang w:eastAsia="zh-CN"/>
              </w:rPr>
              <w:t>年下降</w:t>
            </w:r>
            <w:r>
              <w:rPr>
                <w:rFonts w:hint="eastAsia" w:eastAsia="仿宋_GB2312" w:cs="Times New Roman"/>
                <w:bCs/>
                <w:color w:val="auto"/>
                <w:sz w:val="24"/>
                <w:highlight w:val="none"/>
                <w:lang w:val="en-US" w:eastAsia="zh-CN"/>
              </w:rPr>
              <w:t>0.6742、0.4921、0.1787、0.0031</w:t>
            </w:r>
          </w:p>
        </w:tc>
        <w:tc>
          <w:tcPr>
            <w:tcW w:w="1097" w:type="dxa"/>
            <w:tcBorders>
              <w:tl2br w:val="nil"/>
              <w:tr2bl w:val="nil"/>
            </w:tcBorders>
            <w:vAlign w:val="center"/>
          </w:tcPr>
          <w:p>
            <w:pPr>
              <w:jc w:val="center"/>
              <w:rPr>
                <w:rFonts w:eastAsia="仿宋_GB2312"/>
                <w:bCs/>
                <w:color w:val="auto"/>
                <w:sz w:val="24"/>
                <w:highlight w:val="none"/>
              </w:rPr>
            </w:pPr>
            <w:r>
              <w:rPr>
                <w:rFonts w:hint="eastAsia" w:eastAsia="仿宋_GB2312"/>
                <w:color w:val="auto"/>
                <w:sz w:val="24"/>
                <w:highlight w:val="none"/>
              </w:rPr>
              <w:t>约束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590" w:type="dxa"/>
            <w:tcBorders>
              <w:tl2br w:val="nil"/>
              <w:tr2bl w:val="nil"/>
            </w:tcBorders>
            <w:tcMar>
              <w:top w:w="19" w:type="dxa"/>
              <w:left w:w="19" w:type="dxa"/>
              <w:bottom w:w="0" w:type="dxa"/>
              <w:right w:w="19" w:type="dxa"/>
            </w:tcMar>
            <w:vAlign w:val="center"/>
          </w:tcPr>
          <w:p>
            <w:pPr>
              <w:numPr>
                <w:ilvl w:val="0"/>
                <w:numId w:val="2"/>
              </w:numPr>
              <w:jc w:val="right"/>
              <w:rPr>
                <w:rFonts w:eastAsia="仿宋_GB2312"/>
                <w:bCs/>
                <w:color w:val="auto"/>
                <w:sz w:val="24"/>
                <w:highlight w:val="none"/>
              </w:rPr>
            </w:pPr>
          </w:p>
        </w:tc>
        <w:tc>
          <w:tcPr>
            <w:tcW w:w="5598" w:type="dxa"/>
            <w:tcBorders>
              <w:tl2br w:val="nil"/>
              <w:tr2bl w:val="nil"/>
            </w:tcBorders>
            <w:tcMar>
              <w:top w:w="19" w:type="dxa"/>
              <w:left w:w="19" w:type="dxa"/>
              <w:bottom w:w="0" w:type="dxa"/>
              <w:right w:w="19" w:type="dxa"/>
            </w:tcMar>
            <w:vAlign w:val="center"/>
          </w:tcPr>
          <w:p>
            <w:pP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城市生活垃圾回收利用率（%）</w:t>
            </w:r>
          </w:p>
        </w:tc>
        <w:tc>
          <w:tcPr>
            <w:tcW w:w="1251" w:type="dxa"/>
            <w:tcBorders>
              <w:tl2br w:val="nil"/>
              <w:tr2bl w:val="nil"/>
            </w:tcBorders>
            <w:tcMar>
              <w:top w:w="19" w:type="dxa"/>
              <w:left w:w="19" w:type="dxa"/>
              <w:bottom w:w="0" w:type="dxa"/>
              <w:right w:w="19" w:type="dxa"/>
            </w:tcMar>
            <w:vAlign w:val="center"/>
          </w:tcPr>
          <w:p>
            <w:pPr>
              <w:jc w:val="center"/>
              <w:rPr>
                <w:rFonts w:hint="default" w:eastAsia="仿宋_GB2312"/>
                <w:bCs/>
                <w:color w:val="auto"/>
                <w:sz w:val="24"/>
                <w:highlight w:val="none"/>
                <w:lang w:val="en-US" w:eastAsia="zh-CN"/>
              </w:rPr>
            </w:pPr>
            <w:r>
              <w:rPr>
                <w:rFonts w:hint="eastAsia" w:eastAsia="仿宋_GB2312"/>
                <w:bCs/>
                <w:color w:val="auto"/>
                <w:sz w:val="24"/>
                <w:highlight w:val="none"/>
                <w:lang w:val="en-US" w:eastAsia="zh-CN"/>
              </w:rPr>
              <w:t>—</w:t>
            </w:r>
          </w:p>
        </w:tc>
        <w:tc>
          <w:tcPr>
            <w:tcW w:w="1080" w:type="dxa"/>
            <w:tcBorders>
              <w:tl2br w:val="nil"/>
              <w:tr2bl w:val="nil"/>
            </w:tcBorders>
            <w:tcMar>
              <w:top w:w="19" w:type="dxa"/>
              <w:left w:w="19" w:type="dxa"/>
              <w:bottom w:w="0" w:type="dxa"/>
              <w:right w:w="19" w:type="dxa"/>
            </w:tcMar>
            <w:vAlign w:val="center"/>
          </w:tcPr>
          <w:p>
            <w:pPr>
              <w:jc w:val="center"/>
              <w:rPr>
                <w:rFonts w:hint="eastAsia" w:ascii="Times New Roman" w:hAnsi="Times New Roman" w:eastAsia="仿宋_GB2312" w:cs="Times New Roman"/>
                <w:bCs/>
                <w:color w:val="auto"/>
                <w:sz w:val="24"/>
                <w:highlight w:val="none"/>
                <w:lang w:val="en-US" w:eastAsia="zh-CN"/>
              </w:rPr>
            </w:pPr>
            <w:r>
              <w:rPr>
                <w:rFonts w:hint="eastAsia" w:ascii="Times New Roman" w:hAnsi="Times New Roman" w:eastAsia="仿宋_GB2312" w:cs="Times New Roman"/>
                <w:bCs/>
                <w:color w:val="auto"/>
                <w:sz w:val="24"/>
                <w:highlight w:val="none"/>
                <w:lang w:val="en-US" w:eastAsia="zh-CN"/>
              </w:rPr>
              <w:t>35</w:t>
            </w:r>
          </w:p>
        </w:tc>
        <w:tc>
          <w:tcPr>
            <w:tcW w:w="1097" w:type="dxa"/>
            <w:tcBorders>
              <w:tl2br w:val="nil"/>
              <w:tr2bl w:val="nil"/>
            </w:tcBorders>
            <w:vAlign w:val="center"/>
          </w:tcPr>
          <w:p>
            <w:pPr>
              <w:jc w:val="center"/>
              <w:rPr>
                <w:rFonts w:hint="eastAsia" w:eastAsia="仿宋_GB2312"/>
                <w:bCs/>
                <w:color w:val="auto"/>
                <w:sz w:val="24"/>
                <w:highlight w:val="none"/>
                <w:lang w:val="en-US" w:eastAsia="zh-CN"/>
              </w:rPr>
            </w:pPr>
            <w:r>
              <w:rPr>
                <w:rFonts w:hint="eastAsia" w:eastAsia="仿宋_GB2312"/>
                <w:bCs/>
                <w:color w:val="auto"/>
                <w:sz w:val="24"/>
                <w:highlight w:val="none"/>
                <w:lang w:val="en-US" w:eastAsia="zh-CN"/>
              </w:rPr>
              <w:t>约束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590" w:type="dxa"/>
            <w:tcBorders>
              <w:tl2br w:val="nil"/>
              <w:tr2bl w:val="nil"/>
            </w:tcBorders>
            <w:tcMar>
              <w:top w:w="19" w:type="dxa"/>
              <w:left w:w="19" w:type="dxa"/>
              <w:bottom w:w="0" w:type="dxa"/>
              <w:right w:w="19" w:type="dxa"/>
            </w:tcMar>
            <w:vAlign w:val="center"/>
          </w:tcPr>
          <w:p>
            <w:pPr>
              <w:numPr>
                <w:ilvl w:val="0"/>
                <w:numId w:val="2"/>
              </w:numPr>
              <w:jc w:val="right"/>
              <w:rPr>
                <w:rFonts w:eastAsia="仿宋_GB2312"/>
                <w:bCs/>
                <w:color w:val="auto"/>
                <w:sz w:val="24"/>
                <w:highlight w:val="none"/>
              </w:rPr>
            </w:pPr>
          </w:p>
        </w:tc>
        <w:tc>
          <w:tcPr>
            <w:tcW w:w="5598" w:type="dxa"/>
            <w:tcBorders>
              <w:tl2br w:val="nil"/>
              <w:tr2bl w:val="nil"/>
            </w:tcBorders>
            <w:tcMar>
              <w:top w:w="19" w:type="dxa"/>
              <w:left w:w="19" w:type="dxa"/>
              <w:bottom w:w="0" w:type="dxa"/>
              <w:right w:w="19" w:type="dxa"/>
            </w:tcMar>
            <w:vAlign w:val="center"/>
          </w:tcPr>
          <w:p>
            <w:pP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highlight w:val="none"/>
                <w:lang w:val="en-US" w:eastAsia="zh-CN"/>
              </w:rPr>
              <w:t>农村生活污水治理率</w:t>
            </w:r>
            <w:r>
              <w:rPr>
                <w:rFonts w:hint="eastAsia" w:ascii="Times New Roman" w:hAnsi="Times New Roman" w:eastAsia="仿宋" w:cs="Times New Roman"/>
                <w:color w:val="auto"/>
                <w:sz w:val="24"/>
                <w:highlight w:val="none"/>
              </w:rPr>
              <w:t>（%）</w:t>
            </w:r>
          </w:p>
        </w:tc>
        <w:tc>
          <w:tcPr>
            <w:tcW w:w="1251" w:type="dxa"/>
            <w:tcBorders>
              <w:tl2br w:val="nil"/>
              <w:tr2bl w:val="nil"/>
            </w:tcBorders>
            <w:tcMar>
              <w:top w:w="19" w:type="dxa"/>
              <w:left w:w="19" w:type="dxa"/>
              <w:bottom w:w="0" w:type="dxa"/>
              <w:right w:w="19" w:type="dxa"/>
            </w:tcMar>
            <w:vAlign w:val="center"/>
          </w:tcPr>
          <w:p>
            <w:pPr>
              <w:jc w:val="center"/>
              <w:rPr>
                <w:rFonts w:hint="default" w:eastAsia="仿宋_GB2312" w:asciiTheme="minorHAnsi" w:hAnsiTheme="minorHAnsi" w:cstheme="minorBidi"/>
                <w:bCs/>
                <w:color w:val="auto"/>
                <w:kern w:val="2"/>
                <w:sz w:val="24"/>
                <w:szCs w:val="24"/>
                <w:highlight w:val="none"/>
                <w:lang w:val="en-US" w:eastAsia="zh-CN" w:bidi="ar-SA"/>
              </w:rPr>
            </w:pPr>
            <w:r>
              <w:rPr>
                <w:rFonts w:hint="eastAsia" w:eastAsia="仿宋_GB2312"/>
                <w:bCs/>
                <w:color w:val="auto"/>
                <w:sz w:val="24"/>
                <w:highlight w:val="none"/>
                <w:lang w:val="en-US" w:eastAsia="zh-CN"/>
              </w:rPr>
              <w:t>13.1</w:t>
            </w:r>
          </w:p>
        </w:tc>
        <w:tc>
          <w:tcPr>
            <w:tcW w:w="1080" w:type="dxa"/>
            <w:tcBorders>
              <w:tl2br w:val="nil"/>
              <w:tr2bl w:val="nil"/>
            </w:tcBorders>
            <w:tcMar>
              <w:top w:w="19" w:type="dxa"/>
              <w:left w:w="19" w:type="dxa"/>
              <w:bottom w:w="0" w:type="dxa"/>
              <w:right w:w="19" w:type="dxa"/>
            </w:tcMar>
            <w:vAlign w:val="center"/>
          </w:tcPr>
          <w:p>
            <w:pPr>
              <w:jc w:val="center"/>
              <w:rPr>
                <w:rFonts w:hint="default" w:ascii="Times New Roman" w:hAnsi="Times New Roman" w:eastAsia="仿宋_GB2312" w:cs="Times New Roman"/>
                <w:bCs/>
                <w:color w:val="auto"/>
                <w:sz w:val="24"/>
                <w:highlight w:val="none"/>
                <w:lang w:val="en-US" w:eastAsia="zh-CN"/>
              </w:rPr>
            </w:pPr>
            <w:r>
              <w:rPr>
                <w:rFonts w:hint="eastAsia" w:ascii="Times New Roman" w:hAnsi="Times New Roman" w:eastAsia="仿宋_GB2312" w:cs="Times New Roman"/>
                <w:bCs/>
                <w:color w:val="auto"/>
                <w:sz w:val="24"/>
                <w:highlight w:val="none"/>
                <w:lang w:val="en-US" w:eastAsia="zh-CN"/>
              </w:rPr>
              <w:t>35</w:t>
            </w:r>
          </w:p>
        </w:tc>
        <w:tc>
          <w:tcPr>
            <w:tcW w:w="1097" w:type="dxa"/>
            <w:tcBorders>
              <w:tl2br w:val="nil"/>
              <w:tr2bl w:val="nil"/>
            </w:tcBorders>
            <w:vAlign w:val="center"/>
          </w:tcPr>
          <w:p>
            <w:pPr>
              <w:jc w:val="center"/>
              <w:rPr>
                <w:rFonts w:eastAsia="仿宋_GB2312" w:asciiTheme="minorHAnsi" w:hAnsiTheme="minorHAnsi" w:cstheme="minorBidi"/>
                <w:bCs/>
                <w:color w:val="auto"/>
                <w:kern w:val="2"/>
                <w:sz w:val="24"/>
                <w:szCs w:val="24"/>
                <w:highlight w:val="none"/>
                <w:lang w:val="en-US" w:eastAsia="zh-CN" w:bidi="ar-SA"/>
              </w:rPr>
            </w:pPr>
            <w:r>
              <w:rPr>
                <w:rFonts w:hint="eastAsia" w:eastAsia="仿宋_GB2312"/>
                <w:bCs/>
                <w:color w:val="auto"/>
                <w:sz w:val="24"/>
                <w:highlight w:val="none"/>
                <w:lang w:val="en-US" w:eastAsia="zh-CN"/>
              </w:rPr>
              <w:t>预期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9616" w:type="dxa"/>
            <w:gridSpan w:val="5"/>
            <w:tcBorders>
              <w:tl2br w:val="nil"/>
              <w:tr2bl w:val="nil"/>
            </w:tcBorders>
            <w:vAlign w:val="center"/>
          </w:tcPr>
          <w:p>
            <w:pPr>
              <w:jc w:val="center"/>
              <w:rPr>
                <w:rFonts w:eastAsia="仿宋_GB2312"/>
                <w:bCs/>
                <w:color w:val="auto"/>
                <w:sz w:val="24"/>
                <w:highlight w:val="none"/>
              </w:rPr>
            </w:pPr>
            <w:r>
              <w:rPr>
                <w:rFonts w:hint="eastAsia" w:eastAsia="仿宋_GB2312"/>
                <w:b/>
                <w:color w:val="auto"/>
                <w:sz w:val="24"/>
                <w:highlight w:val="none"/>
              </w:rPr>
              <w:t>（二）应对气候变化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590" w:type="dxa"/>
            <w:tcBorders>
              <w:tl2br w:val="nil"/>
              <w:tr2bl w:val="nil"/>
            </w:tcBorders>
            <w:tcMar>
              <w:top w:w="19" w:type="dxa"/>
              <w:left w:w="19" w:type="dxa"/>
              <w:bottom w:w="0" w:type="dxa"/>
              <w:right w:w="19" w:type="dxa"/>
            </w:tcMar>
            <w:vAlign w:val="center"/>
          </w:tcPr>
          <w:p>
            <w:pPr>
              <w:numPr>
                <w:ilvl w:val="0"/>
                <w:numId w:val="2"/>
              </w:numPr>
              <w:jc w:val="right"/>
              <w:rPr>
                <w:rFonts w:eastAsia="仿宋_GB2312"/>
                <w:bCs/>
                <w:color w:val="auto"/>
                <w:sz w:val="24"/>
                <w:highlight w:val="none"/>
              </w:rPr>
            </w:pPr>
          </w:p>
        </w:tc>
        <w:tc>
          <w:tcPr>
            <w:tcW w:w="5598" w:type="dxa"/>
            <w:tcBorders>
              <w:tl2br w:val="nil"/>
              <w:tr2bl w:val="nil"/>
            </w:tcBorders>
            <w:tcMar>
              <w:top w:w="19" w:type="dxa"/>
              <w:left w:w="19" w:type="dxa"/>
              <w:bottom w:w="0" w:type="dxa"/>
              <w:right w:w="19" w:type="dxa"/>
            </w:tcMar>
            <w:vAlign w:val="center"/>
          </w:tcPr>
          <w:p>
            <w:pPr>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highlight w:val="none"/>
              </w:rPr>
              <w:t>单位</w:t>
            </w:r>
            <w:r>
              <w:rPr>
                <w:rFonts w:ascii="Times New Roman" w:hAnsi="Times New Roman" w:eastAsia="仿宋" w:cs="Times New Roman"/>
                <w:color w:val="auto"/>
                <w:sz w:val="24"/>
                <w:highlight w:val="none"/>
              </w:rPr>
              <w:t>GDP</w:t>
            </w:r>
            <w:r>
              <w:rPr>
                <w:rFonts w:hint="eastAsia" w:ascii="Times New Roman" w:hAnsi="Times New Roman" w:eastAsia="仿宋" w:cs="Times New Roman"/>
                <w:color w:val="auto"/>
                <w:sz w:val="24"/>
                <w:highlight w:val="none"/>
              </w:rPr>
              <w:t>二氧化碳排放降低率（</w:t>
            </w:r>
            <w:r>
              <w:rPr>
                <w:rFonts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rPr>
              <w:t>）</w:t>
            </w:r>
          </w:p>
        </w:tc>
        <w:tc>
          <w:tcPr>
            <w:tcW w:w="1251" w:type="dxa"/>
            <w:tcBorders>
              <w:tl2br w:val="nil"/>
              <w:tr2bl w:val="nil"/>
            </w:tcBorders>
            <w:tcMar>
              <w:top w:w="19" w:type="dxa"/>
              <w:left w:w="19" w:type="dxa"/>
              <w:bottom w:w="0" w:type="dxa"/>
              <w:right w:w="19" w:type="dxa"/>
            </w:tcMar>
            <w:vAlign w:val="center"/>
          </w:tcPr>
          <w:p>
            <w:pPr>
              <w:jc w:val="center"/>
              <w:rPr>
                <w:rFonts w:eastAsia="仿宋_GB2312" w:asciiTheme="minorHAnsi" w:hAnsiTheme="minorHAnsi" w:cstheme="minorBidi"/>
                <w:bCs/>
                <w:color w:val="auto"/>
                <w:kern w:val="2"/>
                <w:sz w:val="24"/>
                <w:szCs w:val="24"/>
                <w:highlight w:val="none"/>
                <w:lang w:val="en-US" w:eastAsia="zh-CN" w:bidi="ar-SA"/>
              </w:rPr>
            </w:pPr>
          </w:p>
        </w:tc>
        <w:tc>
          <w:tcPr>
            <w:tcW w:w="1080" w:type="dxa"/>
            <w:tcBorders>
              <w:tl2br w:val="nil"/>
              <w:tr2bl w:val="nil"/>
            </w:tcBorders>
            <w:tcMar>
              <w:top w:w="19" w:type="dxa"/>
              <w:left w:w="19" w:type="dxa"/>
              <w:bottom w:w="0" w:type="dxa"/>
              <w:right w:w="19" w:type="dxa"/>
            </w:tcMar>
            <w:vAlign w:val="center"/>
          </w:tcPr>
          <w:p>
            <w:pPr>
              <w:jc w:val="center"/>
              <w:rPr>
                <w:rFonts w:hint="default" w:eastAsia="仿宋_GB2312" w:cs="Times New Roman" w:asciiTheme="minorHAnsi" w:hAnsiTheme="minorHAnsi"/>
                <w:bCs/>
                <w:color w:val="auto"/>
                <w:kern w:val="2"/>
                <w:sz w:val="24"/>
                <w:szCs w:val="24"/>
                <w:highlight w:val="none"/>
                <w:lang w:val="en-US" w:eastAsia="zh-CN" w:bidi="ar-SA"/>
              </w:rPr>
            </w:pPr>
            <w:r>
              <w:rPr>
                <w:rFonts w:hint="eastAsia" w:eastAsia="仿宋_GB2312" w:cs="Times New Roman"/>
                <w:bCs/>
                <w:color w:val="auto"/>
                <w:sz w:val="24"/>
                <w:highlight w:val="none"/>
                <w:lang w:val="en-US" w:eastAsia="zh-CN"/>
              </w:rPr>
              <w:t>达到省考核目标</w:t>
            </w:r>
          </w:p>
        </w:tc>
        <w:tc>
          <w:tcPr>
            <w:tcW w:w="1097" w:type="dxa"/>
            <w:tcBorders>
              <w:tl2br w:val="nil"/>
              <w:tr2bl w:val="nil"/>
            </w:tcBorders>
            <w:vAlign w:val="center"/>
          </w:tcPr>
          <w:p>
            <w:pPr>
              <w:jc w:val="center"/>
              <w:rPr>
                <w:rFonts w:hint="eastAsia" w:eastAsia="仿宋_GB2312" w:asciiTheme="minorHAnsi" w:hAnsiTheme="minorHAnsi" w:cstheme="minorBidi"/>
                <w:bCs/>
                <w:color w:val="auto"/>
                <w:kern w:val="2"/>
                <w:sz w:val="24"/>
                <w:szCs w:val="24"/>
                <w:highlight w:val="none"/>
                <w:lang w:val="en-US" w:eastAsia="zh-CN" w:bidi="ar-SA"/>
              </w:rPr>
            </w:pPr>
            <w:r>
              <w:rPr>
                <w:rFonts w:hint="eastAsia" w:eastAsia="仿宋_GB2312"/>
                <w:color w:val="auto"/>
                <w:sz w:val="24"/>
                <w:highlight w:val="none"/>
              </w:rPr>
              <w:t>约束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590" w:type="dxa"/>
            <w:tcBorders>
              <w:tl2br w:val="nil"/>
              <w:tr2bl w:val="nil"/>
            </w:tcBorders>
            <w:tcMar>
              <w:top w:w="19" w:type="dxa"/>
              <w:left w:w="19" w:type="dxa"/>
              <w:bottom w:w="0" w:type="dxa"/>
              <w:right w:w="19" w:type="dxa"/>
            </w:tcMar>
            <w:vAlign w:val="center"/>
          </w:tcPr>
          <w:p>
            <w:pPr>
              <w:numPr>
                <w:ilvl w:val="0"/>
                <w:numId w:val="2"/>
              </w:numPr>
              <w:jc w:val="right"/>
              <w:rPr>
                <w:rFonts w:eastAsia="仿宋_GB2312"/>
                <w:bCs/>
                <w:color w:val="auto"/>
                <w:sz w:val="24"/>
                <w:highlight w:val="none"/>
              </w:rPr>
            </w:pPr>
          </w:p>
        </w:tc>
        <w:tc>
          <w:tcPr>
            <w:tcW w:w="5598" w:type="dxa"/>
            <w:tcBorders>
              <w:tl2br w:val="nil"/>
              <w:tr2bl w:val="nil"/>
            </w:tcBorders>
            <w:tcMar>
              <w:top w:w="19" w:type="dxa"/>
              <w:left w:w="19" w:type="dxa"/>
              <w:bottom w:w="0" w:type="dxa"/>
              <w:right w:w="19" w:type="dxa"/>
            </w:tcMar>
            <w:vAlign w:val="center"/>
          </w:tcPr>
          <w:p>
            <w:pPr>
              <w:jc w:val="left"/>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highlight w:val="none"/>
              </w:rPr>
              <w:t>单位国内生产总值能源消耗降低（</w:t>
            </w:r>
            <w:r>
              <w:rPr>
                <w:rFonts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rPr>
              <w:t>）</w:t>
            </w:r>
          </w:p>
        </w:tc>
        <w:tc>
          <w:tcPr>
            <w:tcW w:w="1251" w:type="dxa"/>
            <w:tcBorders>
              <w:tl2br w:val="nil"/>
              <w:tr2bl w:val="nil"/>
            </w:tcBorders>
            <w:tcMar>
              <w:top w:w="19" w:type="dxa"/>
              <w:left w:w="19" w:type="dxa"/>
              <w:bottom w:w="0" w:type="dxa"/>
              <w:right w:w="19" w:type="dxa"/>
            </w:tcMar>
            <w:vAlign w:val="center"/>
          </w:tcPr>
          <w:p>
            <w:pPr>
              <w:jc w:val="center"/>
              <w:rPr>
                <w:rFonts w:eastAsia="仿宋_GB2312" w:asciiTheme="minorHAnsi" w:hAnsiTheme="minorHAnsi" w:cstheme="minorBidi"/>
                <w:bCs/>
                <w:color w:val="auto"/>
                <w:kern w:val="2"/>
                <w:sz w:val="24"/>
                <w:szCs w:val="24"/>
                <w:highlight w:val="none"/>
                <w:lang w:val="en-US" w:eastAsia="zh-CN" w:bidi="ar-SA"/>
              </w:rPr>
            </w:pPr>
          </w:p>
        </w:tc>
        <w:tc>
          <w:tcPr>
            <w:tcW w:w="1080" w:type="dxa"/>
            <w:tcBorders>
              <w:tl2br w:val="nil"/>
              <w:tr2bl w:val="nil"/>
            </w:tcBorders>
            <w:tcMar>
              <w:top w:w="19" w:type="dxa"/>
              <w:left w:w="19" w:type="dxa"/>
              <w:bottom w:w="0" w:type="dxa"/>
              <w:right w:w="19" w:type="dxa"/>
            </w:tcMar>
            <w:vAlign w:val="center"/>
          </w:tcPr>
          <w:p>
            <w:pPr>
              <w:jc w:val="center"/>
              <w:rPr>
                <w:rFonts w:hint="default" w:eastAsia="仿宋_GB2312" w:cs="Times New Roman" w:asciiTheme="minorHAnsi" w:hAnsiTheme="minorHAnsi"/>
                <w:bCs/>
                <w:color w:val="auto"/>
                <w:kern w:val="2"/>
                <w:sz w:val="24"/>
                <w:szCs w:val="24"/>
                <w:highlight w:val="none"/>
                <w:lang w:val="en-US" w:eastAsia="zh-CN" w:bidi="ar-SA"/>
              </w:rPr>
            </w:pPr>
            <w:r>
              <w:rPr>
                <w:rFonts w:hint="eastAsia" w:eastAsia="仿宋_GB2312" w:cs="Times New Roman"/>
                <w:bCs/>
                <w:color w:val="auto"/>
                <w:sz w:val="24"/>
                <w:highlight w:val="none"/>
                <w:lang w:val="en-US" w:eastAsia="zh-CN"/>
              </w:rPr>
              <w:t>15.5</w:t>
            </w:r>
          </w:p>
        </w:tc>
        <w:tc>
          <w:tcPr>
            <w:tcW w:w="1097" w:type="dxa"/>
            <w:tcBorders>
              <w:tl2br w:val="nil"/>
              <w:tr2bl w:val="nil"/>
            </w:tcBorders>
            <w:vAlign w:val="center"/>
          </w:tcPr>
          <w:p>
            <w:pPr>
              <w:jc w:val="center"/>
              <w:rPr>
                <w:rFonts w:eastAsia="仿宋_GB2312" w:asciiTheme="minorHAnsi" w:hAnsiTheme="minorHAnsi" w:cstheme="minorBidi"/>
                <w:bCs/>
                <w:color w:val="auto"/>
                <w:kern w:val="2"/>
                <w:sz w:val="24"/>
                <w:szCs w:val="24"/>
                <w:highlight w:val="none"/>
                <w:lang w:val="en-US" w:eastAsia="zh-CN" w:bidi="ar-SA"/>
              </w:rPr>
            </w:pPr>
            <w:r>
              <w:rPr>
                <w:rFonts w:hint="eastAsia" w:eastAsia="仿宋_GB2312"/>
                <w:color w:val="auto"/>
                <w:sz w:val="24"/>
                <w:highlight w:val="none"/>
              </w:rPr>
              <w:t>约束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03" w:hRule="atLeast"/>
          <w:tblHeader/>
          <w:jc w:val="center"/>
        </w:trPr>
        <w:tc>
          <w:tcPr>
            <w:tcW w:w="9616" w:type="dxa"/>
            <w:gridSpan w:val="5"/>
            <w:tcBorders>
              <w:tl2br w:val="nil"/>
              <w:tr2bl w:val="nil"/>
            </w:tcBorders>
            <w:vAlign w:val="center"/>
          </w:tcPr>
          <w:p>
            <w:pPr>
              <w:jc w:val="center"/>
              <w:rPr>
                <w:rFonts w:eastAsia="仿宋_GB2312"/>
                <w:b/>
                <w:color w:val="auto"/>
                <w:sz w:val="24"/>
                <w:highlight w:val="none"/>
              </w:rPr>
            </w:pPr>
            <w:r>
              <w:rPr>
                <w:rFonts w:hint="eastAsia" w:eastAsia="仿宋_GB2312"/>
                <w:b/>
                <w:color w:val="auto"/>
                <w:sz w:val="24"/>
                <w:highlight w:val="none"/>
              </w:rPr>
              <w:t>（三）环境风险防控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590" w:type="dxa"/>
            <w:tcBorders>
              <w:tl2br w:val="nil"/>
              <w:tr2bl w:val="nil"/>
            </w:tcBorders>
            <w:tcMar>
              <w:top w:w="19" w:type="dxa"/>
              <w:left w:w="19" w:type="dxa"/>
              <w:bottom w:w="0" w:type="dxa"/>
              <w:right w:w="19" w:type="dxa"/>
            </w:tcMar>
            <w:vAlign w:val="center"/>
          </w:tcPr>
          <w:p>
            <w:pPr>
              <w:numPr>
                <w:ilvl w:val="0"/>
                <w:numId w:val="2"/>
              </w:numPr>
              <w:jc w:val="right"/>
              <w:rPr>
                <w:rFonts w:eastAsia="仿宋_GB2312"/>
                <w:bCs/>
                <w:color w:val="auto"/>
                <w:sz w:val="24"/>
                <w:highlight w:val="none"/>
              </w:rPr>
            </w:pPr>
          </w:p>
        </w:tc>
        <w:tc>
          <w:tcPr>
            <w:tcW w:w="5598" w:type="dxa"/>
            <w:tcBorders>
              <w:tl2br w:val="nil"/>
              <w:tr2bl w:val="nil"/>
            </w:tcBorders>
            <w:tcMar>
              <w:top w:w="19" w:type="dxa"/>
              <w:left w:w="19" w:type="dxa"/>
              <w:bottom w:w="0" w:type="dxa"/>
              <w:right w:w="19" w:type="dxa"/>
            </w:tcMar>
            <w:vAlign w:val="center"/>
          </w:tcPr>
          <w:p>
            <w:pPr>
              <w:jc w:val="left"/>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受污染耕地安全利用率（</w:t>
            </w:r>
            <w:r>
              <w:rPr>
                <w:rFonts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rPr>
              <w:t>）</w:t>
            </w:r>
          </w:p>
        </w:tc>
        <w:tc>
          <w:tcPr>
            <w:tcW w:w="1251" w:type="dxa"/>
            <w:tcBorders>
              <w:tl2br w:val="nil"/>
              <w:tr2bl w:val="nil"/>
            </w:tcBorders>
            <w:tcMar>
              <w:top w:w="19" w:type="dxa"/>
              <w:left w:w="19" w:type="dxa"/>
              <w:bottom w:w="0" w:type="dxa"/>
              <w:right w:w="19" w:type="dxa"/>
            </w:tcMar>
            <w:vAlign w:val="center"/>
          </w:tcPr>
          <w:p>
            <w:pPr>
              <w:jc w:val="center"/>
              <w:rPr>
                <w:rFonts w:hint="default" w:eastAsia="仿宋_GB2312"/>
                <w:bCs/>
                <w:color w:val="auto"/>
                <w:sz w:val="24"/>
                <w:highlight w:val="none"/>
                <w:lang w:val="en-US" w:eastAsia="zh-CN"/>
              </w:rPr>
            </w:pPr>
            <w:r>
              <w:rPr>
                <w:rFonts w:hint="eastAsia" w:eastAsia="仿宋_GB2312"/>
                <w:bCs/>
                <w:color w:val="auto"/>
                <w:sz w:val="24"/>
                <w:highlight w:val="none"/>
                <w:lang w:val="en-US" w:eastAsia="zh-CN"/>
              </w:rPr>
              <w:t>90</w:t>
            </w:r>
          </w:p>
        </w:tc>
        <w:tc>
          <w:tcPr>
            <w:tcW w:w="1080" w:type="dxa"/>
            <w:tcBorders>
              <w:tl2br w:val="nil"/>
              <w:tr2bl w:val="nil"/>
            </w:tcBorders>
            <w:tcMar>
              <w:top w:w="19" w:type="dxa"/>
              <w:left w:w="19" w:type="dxa"/>
              <w:bottom w:w="0" w:type="dxa"/>
              <w:right w:w="19" w:type="dxa"/>
            </w:tcMar>
            <w:vAlign w:val="center"/>
          </w:tcPr>
          <w:p>
            <w:pPr>
              <w:jc w:val="center"/>
              <w:rPr>
                <w:rFonts w:hint="default" w:eastAsia="仿宋_GB2312" w:cs="Times New Roman"/>
                <w:bCs/>
                <w:color w:val="auto"/>
                <w:sz w:val="24"/>
                <w:highlight w:val="none"/>
                <w:lang w:val="en-US" w:eastAsia="zh-CN"/>
              </w:rPr>
            </w:pPr>
            <w:r>
              <w:rPr>
                <w:rFonts w:hint="eastAsia" w:eastAsia="仿宋_GB2312" w:cs="Times New Roman"/>
                <w:bCs/>
                <w:color w:val="auto"/>
                <w:sz w:val="24"/>
                <w:highlight w:val="none"/>
                <w:lang w:val="en-US" w:eastAsia="zh-CN"/>
              </w:rPr>
              <w:t>93</w:t>
            </w:r>
          </w:p>
        </w:tc>
        <w:tc>
          <w:tcPr>
            <w:tcW w:w="1097" w:type="dxa"/>
            <w:tcBorders>
              <w:tl2br w:val="nil"/>
              <w:tr2bl w:val="nil"/>
            </w:tcBorders>
            <w:vAlign w:val="center"/>
          </w:tcPr>
          <w:p>
            <w:pPr>
              <w:jc w:val="center"/>
              <w:rPr>
                <w:rFonts w:eastAsia="仿宋_GB2312"/>
                <w:bCs/>
                <w:color w:val="auto"/>
                <w:sz w:val="24"/>
                <w:highlight w:val="none"/>
              </w:rPr>
            </w:pPr>
            <w:r>
              <w:rPr>
                <w:rFonts w:hint="eastAsia" w:eastAsia="仿宋_GB2312"/>
                <w:bCs/>
                <w:color w:val="auto"/>
                <w:sz w:val="24"/>
                <w:highlight w:val="none"/>
                <w:lang w:val="en-US" w:eastAsia="zh-CN"/>
              </w:rPr>
              <w:t>预期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590" w:type="dxa"/>
            <w:tcBorders>
              <w:tl2br w:val="nil"/>
              <w:tr2bl w:val="nil"/>
            </w:tcBorders>
            <w:tcMar>
              <w:top w:w="19" w:type="dxa"/>
              <w:left w:w="19" w:type="dxa"/>
              <w:bottom w:w="0" w:type="dxa"/>
              <w:right w:w="19" w:type="dxa"/>
            </w:tcMar>
            <w:vAlign w:val="center"/>
          </w:tcPr>
          <w:p>
            <w:pPr>
              <w:numPr>
                <w:ilvl w:val="0"/>
                <w:numId w:val="2"/>
              </w:numPr>
              <w:jc w:val="right"/>
              <w:rPr>
                <w:rFonts w:eastAsia="仿宋_GB2312"/>
                <w:bCs/>
                <w:color w:val="auto"/>
                <w:sz w:val="24"/>
                <w:highlight w:val="none"/>
              </w:rPr>
            </w:pPr>
          </w:p>
        </w:tc>
        <w:tc>
          <w:tcPr>
            <w:tcW w:w="5598" w:type="dxa"/>
            <w:tcBorders>
              <w:tl2br w:val="nil"/>
              <w:tr2bl w:val="nil"/>
            </w:tcBorders>
            <w:tcMar>
              <w:top w:w="19" w:type="dxa"/>
              <w:left w:w="19" w:type="dxa"/>
              <w:bottom w:w="0" w:type="dxa"/>
              <w:right w:w="19" w:type="dxa"/>
            </w:tcMar>
            <w:vAlign w:val="center"/>
          </w:tcPr>
          <w:p>
            <w:pPr>
              <w:jc w:val="left"/>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lang w:val="en-US" w:eastAsia="zh-CN"/>
              </w:rPr>
              <w:t>重点建设用地</w:t>
            </w:r>
            <w:r>
              <w:rPr>
                <w:rFonts w:hint="eastAsia" w:ascii="Times New Roman" w:hAnsi="Times New Roman" w:eastAsia="仿宋" w:cs="Times New Roman"/>
                <w:color w:val="auto"/>
                <w:sz w:val="24"/>
                <w:highlight w:val="none"/>
              </w:rPr>
              <w:t>安全利用率（</w:t>
            </w:r>
            <w:r>
              <w:rPr>
                <w:rFonts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rPr>
              <w:t>）</w:t>
            </w:r>
          </w:p>
        </w:tc>
        <w:tc>
          <w:tcPr>
            <w:tcW w:w="1251" w:type="dxa"/>
            <w:tcBorders>
              <w:tl2br w:val="nil"/>
              <w:tr2bl w:val="nil"/>
            </w:tcBorders>
            <w:tcMar>
              <w:top w:w="19" w:type="dxa"/>
              <w:left w:w="19" w:type="dxa"/>
              <w:bottom w:w="0" w:type="dxa"/>
              <w:right w:w="19" w:type="dxa"/>
            </w:tcMar>
            <w:vAlign w:val="center"/>
          </w:tcPr>
          <w:p>
            <w:pPr>
              <w:jc w:val="center"/>
              <w:rPr>
                <w:rFonts w:hint="default" w:eastAsia="仿宋_GB2312"/>
                <w:bCs/>
                <w:color w:val="auto"/>
                <w:sz w:val="24"/>
                <w:highlight w:val="none"/>
                <w:lang w:val="en-US" w:eastAsia="zh-CN"/>
              </w:rPr>
            </w:pPr>
            <w:r>
              <w:rPr>
                <w:rFonts w:hint="eastAsia" w:eastAsia="仿宋_GB2312"/>
                <w:bCs/>
                <w:color w:val="auto"/>
                <w:sz w:val="24"/>
                <w:highlight w:val="none"/>
                <w:lang w:val="en-US" w:eastAsia="zh-CN"/>
              </w:rPr>
              <w:t>90</w:t>
            </w:r>
          </w:p>
        </w:tc>
        <w:tc>
          <w:tcPr>
            <w:tcW w:w="1080" w:type="dxa"/>
            <w:tcBorders>
              <w:tl2br w:val="nil"/>
              <w:tr2bl w:val="nil"/>
            </w:tcBorders>
            <w:tcMar>
              <w:top w:w="19" w:type="dxa"/>
              <w:left w:w="19" w:type="dxa"/>
              <w:bottom w:w="0" w:type="dxa"/>
              <w:right w:w="19" w:type="dxa"/>
            </w:tcMar>
            <w:vAlign w:val="center"/>
          </w:tcPr>
          <w:p>
            <w:pPr>
              <w:jc w:val="center"/>
              <w:rPr>
                <w:rFonts w:hint="default" w:eastAsia="仿宋_GB2312" w:cs="Times New Roman"/>
                <w:bCs/>
                <w:color w:val="auto"/>
                <w:sz w:val="24"/>
                <w:highlight w:val="none"/>
                <w:lang w:val="en-US" w:eastAsia="zh-CN"/>
              </w:rPr>
            </w:pPr>
            <w:r>
              <w:rPr>
                <w:rFonts w:hint="eastAsia" w:eastAsia="仿宋_GB2312" w:cs="Times New Roman"/>
                <w:bCs/>
                <w:color w:val="auto"/>
                <w:sz w:val="24"/>
                <w:highlight w:val="none"/>
                <w:lang w:val="en-US" w:eastAsia="zh-CN"/>
              </w:rPr>
              <w:t>有效保障</w:t>
            </w:r>
          </w:p>
        </w:tc>
        <w:tc>
          <w:tcPr>
            <w:tcW w:w="1097" w:type="dxa"/>
            <w:tcBorders>
              <w:tl2br w:val="nil"/>
              <w:tr2bl w:val="nil"/>
            </w:tcBorders>
            <w:vAlign w:val="center"/>
          </w:tcPr>
          <w:p>
            <w:pPr>
              <w:jc w:val="center"/>
              <w:rPr>
                <w:rFonts w:eastAsia="仿宋_GB2312"/>
                <w:bCs/>
                <w:color w:val="auto"/>
                <w:sz w:val="24"/>
                <w:highlight w:val="none"/>
              </w:rPr>
            </w:pPr>
            <w:r>
              <w:rPr>
                <w:rFonts w:hint="eastAsia" w:eastAsia="仿宋_GB2312"/>
                <w:bCs/>
                <w:color w:val="auto"/>
                <w:sz w:val="24"/>
                <w:highlight w:val="none"/>
                <w:lang w:val="en-US" w:eastAsia="zh-CN"/>
              </w:rPr>
              <w:t>预期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590" w:type="dxa"/>
            <w:tcBorders>
              <w:tl2br w:val="nil"/>
              <w:tr2bl w:val="nil"/>
            </w:tcBorders>
            <w:tcMar>
              <w:top w:w="19" w:type="dxa"/>
              <w:left w:w="19" w:type="dxa"/>
              <w:bottom w:w="0" w:type="dxa"/>
              <w:right w:w="19" w:type="dxa"/>
            </w:tcMar>
            <w:vAlign w:val="center"/>
          </w:tcPr>
          <w:p>
            <w:pPr>
              <w:numPr>
                <w:ilvl w:val="0"/>
                <w:numId w:val="2"/>
              </w:numPr>
              <w:jc w:val="right"/>
              <w:rPr>
                <w:rFonts w:eastAsia="仿宋_GB2312"/>
                <w:bCs/>
                <w:color w:val="auto"/>
                <w:sz w:val="24"/>
                <w:highlight w:val="none"/>
              </w:rPr>
            </w:pPr>
          </w:p>
        </w:tc>
        <w:tc>
          <w:tcPr>
            <w:tcW w:w="5598" w:type="dxa"/>
            <w:tcBorders>
              <w:tl2br w:val="nil"/>
              <w:tr2bl w:val="nil"/>
            </w:tcBorders>
            <w:tcMar>
              <w:top w:w="19" w:type="dxa"/>
              <w:left w:w="19" w:type="dxa"/>
              <w:bottom w:w="0" w:type="dxa"/>
              <w:right w:w="19" w:type="dxa"/>
            </w:tcMar>
            <w:vAlign w:val="center"/>
          </w:tcPr>
          <w:p>
            <w:pPr>
              <w:jc w:val="left"/>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放射源辐射事故年发生率（起/每万枚）</w:t>
            </w:r>
          </w:p>
        </w:tc>
        <w:tc>
          <w:tcPr>
            <w:tcW w:w="1251" w:type="dxa"/>
            <w:tcBorders>
              <w:tl2br w:val="nil"/>
              <w:tr2bl w:val="nil"/>
            </w:tcBorders>
            <w:tcMar>
              <w:top w:w="19" w:type="dxa"/>
              <w:left w:w="19" w:type="dxa"/>
              <w:bottom w:w="0" w:type="dxa"/>
              <w:right w:w="19" w:type="dxa"/>
            </w:tcMar>
            <w:vAlign w:val="center"/>
          </w:tcPr>
          <w:p>
            <w:pPr>
              <w:jc w:val="center"/>
              <w:rPr>
                <w:rFonts w:hint="eastAsia" w:eastAsia="仿宋_GB2312"/>
                <w:bCs/>
                <w:color w:val="auto"/>
                <w:sz w:val="24"/>
                <w:highlight w:val="none"/>
                <w:lang w:val="en-US" w:eastAsia="zh-CN"/>
              </w:rPr>
            </w:pPr>
            <w:r>
              <w:rPr>
                <w:rFonts w:hint="eastAsia" w:eastAsia="仿宋_GB2312"/>
                <w:bCs/>
                <w:color w:val="auto"/>
                <w:sz w:val="24"/>
                <w:highlight w:val="none"/>
                <w:lang w:val="en-US" w:eastAsia="zh-CN"/>
              </w:rPr>
              <w:t>0</w:t>
            </w:r>
          </w:p>
        </w:tc>
        <w:tc>
          <w:tcPr>
            <w:tcW w:w="1080" w:type="dxa"/>
            <w:tcBorders>
              <w:tl2br w:val="nil"/>
              <w:tr2bl w:val="nil"/>
            </w:tcBorders>
            <w:tcMar>
              <w:top w:w="19" w:type="dxa"/>
              <w:left w:w="19" w:type="dxa"/>
              <w:bottom w:w="0" w:type="dxa"/>
              <w:right w:w="19" w:type="dxa"/>
            </w:tcMar>
            <w:vAlign w:val="center"/>
          </w:tcPr>
          <w:p>
            <w:pPr>
              <w:jc w:val="center"/>
              <w:rPr>
                <w:rFonts w:hint="eastAsia" w:eastAsia="仿宋_GB2312" w:cs="Times New Roman"/>
                <w:bCs/>
                <w:color w:val="auto"/>
                <w:sz w:val="24"/>
                <w:highlight w:val="none"/>
                <w:lang w:val="en-US" w:eastAsia="zh-CN"/>
              </w:rPr>
            </w:pPr>
            <w:r>
              <w:rPr>
                <w:rFonts w:hint="eastAsia" w:eastAsia="仿宋_GB2312" w:cs="Times New Roman"/>
                <w:bCs/>
                <w:color w:val="auto"/>
                <w:sz w:val="24"/>
                <w:highlight w:val="none"/>
                <w:lang w:val="en-US" w:eastAsia="zh-CN"/>
              </w:rPr>
              <w:t>0</w:t>
            </w:r>
          </w:p>
        </w:tc>
        <w:tc>
          <w:tcPr>
            <w:tcW w:w="1097" w:type="dxa"/>
            <w:tcBorders>
              <w:tl2br w:val="nil"/>
              <w:tr2bl w:val="nil"/>
            </w:tcBorders>
            <w:vAlign w:val="center"/>
          </w:tcPr>
          <w:p>
            <w:pPr>
              <w:jc w:val="center"/>
              <w:rPr>
                <w:rFonts w:eastAsia="仿宋_GB2312"/>
                <w:bCs/>
                <w:color w:val="auto"/>
                <w:sz w:val="24"/>
                <w:highlight w:val="none"/>
              </w:rPr>
            </w:pPr>
            <w:r>
              <w:rPr>
                <w:rFonts w:hint="eastAsia" w:eastAsia="仿宋_GB2312"/>
                <w:bCs/>
                <w:color w:val="auto"/>
                <w:sz w:val="24"/>
                <w:highlight w:val="none"/>
                <w:lang w:val="en-US" w:eastAsia="zh-CN"/>
              </w:rPr>
              <w:t>预期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9616" w:type="dxa"/>
            <w:gridSpan w:val="5"/>
            <w:tcBorders>
              <w:tl2br w:val="nil"/>
              <w:tr2bl w:val="nil"/>
            </w:tcBorders>
            <w:vAlign w:val="center"/>
          </w:tcPr>
          <w:p>
            <w:pPr>
              <w:jc w:val="center"/>
              <w:rPr>
                <w:rFonts w:eastAsia="仿宋_GB2312"/>
                <w:bCs/>
                <w:color w:val="auto"/>
                <w:sz w:val="24"/>
                <w:highlight w:val="none"/>
              </w:rPr>
            </w:pPr>
            <w:r>
              <w:rPr>
                <w:rFonts w:hint="eastAsia" w:eastAsia="仿宋_GB2312"/>
                <w:b/>
                <w:color w:val="auto"/>
                <w:sz w:val="24"/>
                <w:highlight w:val="none"/>
              </w:rPr>
              <w:t>（四）生态保护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590" w:type="dxa"/>
            <w:tcBorders>
              <w:tl2br w:val="nil"/>
              <w:tr2bl w:val="nil"/>
            </w:tcBorders>
            <w:tcMar>
              <w:top w:w="19" w:type="dxa"/>
              <w:left w:w="19" w:type="dxa"/>
              <w:bottom w:w="0" w:type="dxa"/>
              <w:right w:w="19" w:type="dxa"/>
            </w:tcMar>
            <w:vAlign w:val="center"/>
          </w:tcPr>
          <w:p>
            <w:pPr>
              <w:numPr>
                <w:ilvl w:val="0"/>
                <w:numId w:val="2"/>
              </w:numPr>
              <w:jc w:val="right"/>
              <w:rPr>
                <w:rFonts w:eastAsia="仿宋_GB2312"/>
                <w:bCs/>
                <w:color w:val="auto"/>
                <w:sz w:val="24"/>
                <w:highlight w:val="none"/>
              </w:rPr>
            </w:pPr>
          </w:p>
        </w:tc>
        <w:tc>
          <w:tcPr>
            <w:tcW w:w="5598" w:type="dxa"/>
            <w:tcBorders>
              <w:tl2br w:val="nil"/>
              <w:tr2bl w:val="nil"/>
            </w:tcBorders>
            <w:tcMar>
              <w:top w:w="19" w:type="dxa"/>
              <w:left w:w="19" w:type="dxa"/>
              <w:bottom w:w="0" w:type="dxa"/>
              <w:right w:w="19" w:type="dxa"/>
            </w:tcMar>
            <w:vAlign w:val="center"/>
          </w:tcPr>
          <w:p>
            <w:pP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生态质量指数（E</w:t>
            </w:r>
            <w:r>
              <w:rPr>
                <w:rFonts w:hint="eastAsia" w:ascii="Times New Roman" w:hAnsi="Times New Roman" w:eastAsia="仿宋" w:cs="Times New Roman"/>
                <w:color w:val="auto"/>
                <w:sz w:val="24"/>
                <w:highlight w:val="none"/>
                <w:lang w:val="en-US" w:eastAsia="zh-CN"/>
              </w:rPr>
              <w:t>Q</w:t>
            </w:r>
            <w:r>
              <w:rPr>
                <w:rFonts w:hint="eastAsia" w:ascii="Times New Roman" w:hAnsi="Times New Roman" w:eastAsia="仿宋" w:cs="Times New Roman"/>
                <w:color w:val="auto"/>
                <w:sz w:val="24"/>
                <w:highlight w:val="none"/>
              </w:rPr>
              <w:t>I）</w:t>
            </w:r>
          </w:p>
        </w:tc>
        <w:tc>
          <w:tcPr>
            <w:tcW w:w="1251" w:type="dxa"/>
            <w:tcBorders>
              <w:tl2br w:val="nil"/>
              <w:tr2bl w:val="nil"/>
            </w:tcBorders>
            <w:tcMar>
              <w:top w:w="19" w:type="dxa"/>
              <w:left w:w="19" w:type="dxa"/>
              <w:bottom w:w="0" w:type="dxa"/>
              <w:right w:w="19" w:type="dxa"/>
            </w:tcMar>
            <w:vAlign w:val="center"/>
          </w:tcPr>
          <w:p>
            <w:pPr>
              <w:jc w:val="center"/>
              <w:rPr>
                <w:rFonts w:ascii="Times New Roman" w:hAnsi="Times New Roman" w:eastAsia="仿宋_GB2312" w:cs="Times New Roman"/>
                <w:bCs/>
                <w:color w:val="auto"/>
                <w:sz w:val="24"/>
                <w:highlight w:val="none"/>
              </w:rPr>
            </w:pPr>
          </w:p>
        </w:tc>
        <w:tc>
          <w:tcPr>
            <w:tcW w:w="1080" w:type="dxa"/>
            <w:tcBorders>
              <w:tl2br w:val="nil"/>
              <w:tr2bl w:val="nil"/>
            </w:tcBorders>
            <w:tcMar>
              <w:top w:w="19" w:type="dxa"/>
              <w:left w:w="19" w:type="dxa"/>
              <w:bottom w:w="0" w:type="dxa"/>
              <w:right w:w="19" w:type="dxa"/>
            </w:tcMar>
            <w:vAlign w:val="center"/>
          </w:tcPr>
          <w:p>
            <w:pPr>
              <w:jc w:val="center"/>
              <w:rPr>
                <w:rFonts w:hint="default" w:ascii="Times New Roman" w:hAnsi="Times New Roman" w:eastAsia="仿宋_GB2312" w:cs="Times New Roman"/>
                <w:bCs/>
                <w:color w:val="auto"/>
                <w:sz w:val="24"/>
                <w:highlight w:val="none"/>
                <w:lang w:val="en-US" w:eastAsia="zh-CN"/>
              </w:rPr>
            </w:pPr>
            <w:r>
              <w:rPr>
                <w:rFonts w:hint="eastAsia" w:ascii="Times New Roman" w:hAnsi="Times New Roman" w:eastAsia="仿宋_GB2312" w:cs="Times New Roman"/>
                <w:bCs/>
                <w:color w:val="auto"/>
                <w:sz w:val="24"/>
                <w:highlight w:val="none"/>
                <w:lang w:val="en-US" w:eastAsia="zh-CN"/>
              </w:rPr>
              <w:t>稳中向好</w:t>
            </w:r>
          </w:p>
        </w:tc>
        <w:tc>
          <w:tcPr>
            <w:tcW w:w="1097" w:type="dxa"/>
            <w:tcBorders>
              <w:tl2br w:val="nil"/>
              <w:tr2bl w:val="nil"/>
            </w:tcBorders>
            <w:vAlign w:val="center"/>
          </w:tcPr>
          <w:p>
            <w:pPr>
              <w:jc w:val="center"/>
              <w:rPr>
                <w:rFonts w:hint="default" w:eastAsia="仿宋_GB2312"/>
                <w:bCs/>
                <w:color w:val="auto"/>
                <w:sz w:val="24"/>
                <w:highlight w:val="none"/>
                <w:lang w:val="en-US"/>
              </w:rPr>
            </w:pPr>
            <w:r>
              <w:rPr>
                <w:rFonts w:hint="eastAsia" w:eastAsia="仿宋_GB2312"/>
                <w:bCs/>
                <w:color w:val="auto"/>
                <w:sz w:val="24"/>
                <w:highlight w:val="none"/>
                <w:lang w:val="en-US" w:eastAsia="zh-CN"/>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590" w:type="dxa"/>
            <w:tcBorders>
              <w:tl2br w:val="nil"/>
              <w:tr2bl w:val="nil"/>
            </w:tcBorders>
            <w:tcMar>
              <w:top w:w="19" w:type="dxa"/>
              <w:left w:w="19" w:type="dxa"/>
              <w:bottom w:w="0" w:type="dxa"/>
              <w:right w:w="19" w:type="dxa"/>
            </w:tcMar>
            <w:vAlign w:val="center"/>
          </w:tcPr>
          <w:p>
            <w:pPr>
              <w:numPr>
                <w:ilvl w:val="0"/>
                <w:numId w:val="2"/>
              </w:numPr>
              <w:jc w:val="right"/>
              <w:rPr>
                <w:rFonts w:eastAsia="仿宋_GB2312"/>
                <w:bCs/>
                <w:color w:val="auto"/>
                <w:sz w:val="24"/>
                <w:highlight w:val="none"/>
              </w:rPr>
            </w:pPr>
          </w:p>
        </w:tc>
        <w:tc>
          <w:tcPr>
            <w:tcW w:w="5598" w:type="dxa"/>
            <w:tcBorders>
              <w:tl2br w:val="nil"/>
              <w:tr2bl w:val="nil"/>
            </w:tcBorders>
            <w:tcMar>
              <w:top w:w="19" w:type="dxa"/>
              <w:left w:w="19" w:type="dxa"/>
              <w:bottom w:w="0" w:type="dxa"/>
              <w:right w:w="19" w:type="dxa"/>
            </w:tcMar>
            <w:vAlign w:val="center"/>
          </w:tcPr>
          <w:p>
            <w:pPr>
              <w:rPr>
                <w:rFonts w:hint="eastAsia" w:ascii="Times New Roman" w:hAnsi="Times New Roman" w:eastAsia="仿宋" w:cs="Times New Roman"/>
                <w:color w:val="auto"/>
                <w:sz w:val="24"/>
                <w:highlight w:val="none"/>
                <w:lang w:eastAsia="zh-CN"/>
              </w:rPr>
            </w:pPr>
            <w:r>
              <w:rPr>
                <w:rFonts w:hint="eastAsia" w:ascii="Times New Roman" w:hAnsi="Times New Roman" w:eastAsia="仿宋" w:cs="Times New Roman"/>
                <w:color w:val="auto"/>
                <w:sz w:val="24"/>
                <w:highlight w:val="none"/>
              </w:rPr>
              <w:t>森林覆盖率（%）</w:t>
            </w:r>
          </w:p>
        </w:tc>
        <w:tc>
          <w:tcPr>
            <w:tcW w:w="1251" w:type="dxa"/>
            <w:tcBorders>
              <w:tl2br w:val="nil"/>
              <w:tr2bl w:val="nil"/>
            </w:tcBorders>
            <w:tcMar>
              <w:top w:w="19" w:type="dxa"/>
              <w:left w:w="19" w:type="dxa"/>
              <w:bottom w:w="0" w:type="dxa"/>
              <w:right w:w="19" w:type="dxa"/>
            </w:tcMar>
            <w:vAlign w:val="center"/>
          </w:tcPr>
          <w:p>
            <w:pPr>
              <w:jc w:val="center"/>
              <w:rPr>
                <w:rFonts w:hint="default" w:eastAsia="仿宋_GB2312"/>
                <w:bCs/>
                <w:color w:val="auto"/>
                <w:sz w:val="24"/>
                <w:highlight w:val="none"/>
                <w:lang w:val="en-US" w:eastAsia="zh-CN"/>
              </w:rPr>
            </w:pPr>
            <w:r>
              <w:rPr>
                <w:rFonts w:hint="eastAsia" w:eastAsia="仿宋_GB2312"/>
                <w:bCs/>
                <w:color w:val="auto"/>
                <w:sz w:val="24"/>
                <w:highlight w:val="none"/>
                <w:lang w:val="en-US" w:eastAsia="zh-CN"/>
              </w:rPr>
              <w:t>68</w:t>
            </w:r>
          </w:p>
        </w:tc>
        <w:tc>
          <w:tcPr>
            <w:tcW w:w="1080" w:type="dxa"/>
            <w:tcBorders>
              <w:tl2br w:val="nil"/>
              <w:tr2bl w:val="nil"/>
            </w:tcBorders>
            <w:tcMar>
              <w:top w:w="19" w:type="dxa"/>
              <w:left w:w="19" w:type="dxa"/>
              <w:bottom w:w="0" w:type="dxa"/>
              <w:right w:w="19" w:type="dxa"/>
            </w:tcMar>
            <w:vAlign w:val="center"/>
          </w:tcPr>
          <w:p>
            <w:pPr>
              <w:jc w:val="center"/>
              <w:rPr>
                <w:rFonts w:hint="default" w:eastAsia="仿宋_GB2312" w:cs="Times New Roman"/>
                <w:bCs/>
                <w:color w:val="auto"/>
                <w:sz w:val="24"/>
                <w:highlight w:val="none"/>
                <w:lang w:val="en-US" w:eastAsia="zh-CN"/>
              </w:rPr>
            </w:pPr>
            <w:r>
              <w:rPr>
                <w:rFonts w:hint="eastAsia" w:eastAsia="仿宋_GB2312" w:cs="Times New Roman"/>
                <w:bCs/>
                <w:color w:val="auto"/>
                <w:sz w:val="24"/>
                <w:highlight w:val="none"/>
                <w:lang w:val="en-US" w:eastAsia="zh-CN"/>
              </w:rPr>
              <w:t>69</w:t>
            </w:r>
          </w:p>
        </w:tc>
        <w:tc>
          <w:tcPr>
            <w:tcW w:w="1097" w:type="dxa"/>
            <w:tcBorders>
              <w:tl2br w:val="nil"/>
              <w:tr2bl w:val="nil"/>
            </w:tcBorders>
            <w:vAlign w:val="center"/>
          </w:tcPr>
          <w:p>
            <w:pPr>
              <w:jc w:val="center"/>
              <w:rPr>
                <w:rFonts w:eastAsia="仿宋_GB2312"/>
                <w:bCs/>
                <w:color w:val="auto"/>
                <w:sz w:val="24"/>
                <w:highlight w:val="none"/>
              </w:rPr>
            </w:pPr>
            <w:r>
              <w:rPr>
                <w:rFonts w:hint="eastAsia" w:eastAsia="仿宋_GB2312"/>
                <w:bCs/>
                <w:color w:val="auto"/>
                <w:sz w:val="24"/>
                <w:highlight w:val="none"/>
              </w:rPr>
              <w:t>约束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590" w:type="dxa"/>
            <w:tcBorders>
              <w:tl2br w:val="nil"/>
              <w:tr2bl w:val="nil"/>
            </w:tcBorders>
            <w:tcMar>
              <w:top w:w="19" w:type="dxa"/>
              <w:left w:w="19" w:type="dxa"/>
              <w:bottom w:w="0" w:type="dxa"/>
              <w:right w:w="19" w:type="dxa"/>
            </w:tcMar>
            <w:vAlign w:val="center"/>
          </w:tcPr>
          <w:p>
            <w:pPr>
              <w:numPr>
                <w:ilvl w:val="0"/>
                <w:numId w:val="2"/>
              </w:numPr>
              <w:jc w:val="right"/>
              <w:rPr>
                <w:rFonts w:eastAsia="仿宋_GB2312"/>
                <w:bCs/>
                <w:color w:val="auto"/>
                <w:sz w:val="24"/>
                <w:highlight w:val="none"/>
              </w:rPr>
            </w:pPr>
          </w:p>
        </w:tc>
        <w:tc>
          <w:tcPr>
            <w:tcW w:w="5598" w:type="dxa"/>
            <w:tcBorders>
              <w:tl2br w:val="nil"/>
              <w:tr2bl w:val="nil"/>
            </w:tcBorders>
            <w:tcMar>
              <w:top w:w="19" w:type="dxa"/>
              <w:left w:w="19" w:type="dxa"/>
              <w:bottom w:w="0" w:type="dxa"/>
              <w:right w:w="19" w:type="dxa"/>
            </w:tcMar>
            <w:vAlign w:val="center"/>
          </w:tcPr>
          <w:p>
            <w:pPr>
              <w:rPr>
                <w:rFonts w:hint="eastAsia" w:ascii="Times New Roman" w:hAnsi="Times New Roman" w:eastAsia="仿宋" w:cs="Times New Roman"/>
                <w:color w:val="auto"/>
                <w:sz w:val="24"/>
                <w:highlight w:val="none"/>
                <w:lang w:eastAsia="zh-CN"/>
              </w:rPr>
            </w:pPr>
            <w:r>
              <w:rPr>
                <w:rFonts w:hint="eastAsia" w:ascii="Times New Roman" w:hAnsi="Times New Roman" w:eastAsia="仿宋" w:cs="Times New Roman"/>
                <w:color w:val="auto"/>
                <w:sz w:val="24"/>
                <w:highlight w:val="none"/>
              </w:rPr>
              <w:t>生态保护红线</w:t>
            </w:r>
            <w:r>
              <w:rPr>
                <w:rFonts w:hint="eastAsia" w:ascii="Times New Roman" w:hAnsi="Times New Roman" w:eastAsia="仿宋" w:cs="Times New Roman"/>
                <w:color w:val="auto"/>
                <w:sz w:val="24"/>
                <w:highlight w:val="none"/>
                <w:lang w:val="en-US" w:eastAsia="zh-CN"/>
              </w:rPr>
              <w:t>面积（平方公里）</w:t>
            </w:r>
          </w:p>
        </w:tc>
        <w:tc>
          <w:tcPr>
            <w:tcW w:w="1251" w:type="dxa"/>
            <w:tcBorders>
              <w:tl2br w:val="nil"/>
              <w:tr2bl w:val="nil"/>
            </w:tcBorders>
            <w:tcMar>
              <w:top w:w="19" w:type="dxa"/>
              <w:left w:w="19" w:type="dxa"/>
              <w:bottom w:w="0" w:type="dxa"/>
              <w:right w:w="19" w:type="dxa"/>
            </w:tcMar>
            <w:vAlign w:val="center"/>
          </w:tcPr>
          <w:p>
            <w:pPr>
              <w:jc w:val="center"/>
              <w:rPr>
                <w:rFonts w:hint="default" w:eastAsia="仿宋_GB2312"/>
                <w:bCs/>
                <w:color w:val="auto"/>
                <w:sz w:val="24"/>
                <w:highlight w:val="none"/>
                <w:lang w:val="en-US" w:eastAsia="zh-CN"/>
              </w:rPr>
            </w:pPr>
            <w:r>
              <w:rPr>
                <w:rFonts w:hint="eastAsia" w:eastAsia="仿宋_GB2312"/>
                <w:bCs/>
                <w:color w:val="auto"/>
                <w:sz w:val="24"/>
                <w:highlight w:val="none"/>
                <w:lang w:val="en-US" w:eastAsia="zh-CN"/>
              </w:rPr>
              <w:t>3662.93</w:t>
            </w:r>
          </w:p>
        </w:tc>
        <w:tc>
          <w:tcPr>
            <w:tcW w:w="1080" w:type="dxa"/>
            <w:tcBorders>
              <w:tl2br w:val="nil"/>
              <w:tr2bl w:val="nil"/>
            </w:tcBorders>
            <w:tcMar>
              <w:top w:w="19" w:type="dxa"/>
              <w:left w:w="19" w:type="dxa"/>
              <w:bottom w:w="0" w:type="dxa"/>
              <w:right w:w="19" w:type="dxa"/>
            </w:tcMar>
            <w:vAlign w:val="center"/>
          </w:tcPr>
          <w:p>
            <w:pPr>
              <w:jc w:val="center"/>
              <w:rPr>
                <w:rFonts w:hint="default" w:eastAsia="仿宋_GB2312" w:cs="Times New Roman"/>
                <w:bCs/>
                <w:color w:val="auto"/>
                <w:sz w:val="24"/>
                <w:highlight w:val="none"/>
                <w:lang w:val="en-US" w:eastAsia="zh-CN"/>
              </w:rPr>
            </w:pPr>
            <w:r>
              <w:rPr>
                <w:rFonts w:hint="eastAsia" w:eastAsia="仿宋_GB2312" w:cs="Times New Roman"/>
                <w:bCs/>
                <w:color w:val="auto"/>
                <w:sz w:val="24"/>
                <w:highlight w:val="none"/>
                <w:lang w:val="en-US" w:eastAsia="zh-CN"/>
              </w:rPr>
              <w:t>3604.99</w:t>
            </w:r>
          </w:p>
        </w:tc>
        <w:tc>
          <w:tcPr>
            <w:tcW w:w="1097" w:type="dxa"/>
            <w:tcBorders>
              <w:tl2br w:val="nil"/>
              <w:tr2bl w:val="nil"/>
            </w:tcBorders>
            <w:vAlign w:val="center"/>
          </w:tcPr>
          <w:p>
            <w:pPr>
              <w:jc w:val="center"/>
              <w:rPr>
                <w:rFonts w:eastAsia="仿宋_GB2312"/>
                <w:bCs/>
                <w:color w:val="auto"/>
                <w:sz w:val="24"/>
                <w:highlight w:val="none"/>
              </w:rPr>
            </w:pPr>
            <w:r>
              <w:rPr>
                <w:rFonts w:hint="eastAsia" w:eastAsia="仿宋_GB2312"/>
                <w:bCs/>
                <w:color w:val="auto"/>
                <w:sz w:val="24"/>
                <w:highlight w:val="none"/>
              </w:rPr>
              <w:t>约束</w:t>
            </w:r>
          </w:p>
        </w:tc>
      </w:tr>
    </w:tbl>
    <w:p>
      <w:pPr>
        <w:pStyle w:val="3"/>
        <w:spacing w:beforeAutospacing="0" w:afterAutospacing="0" w:line="800" w:lineRule="exact"/>
        <w:ind w:firstLine="629" w:firstLineChars="196"/>
        <w:rPr>
          <w:rFonts w:hint="default" w:cs="仿宋" w:asciiTheme="minorEastAsia" w:hAnsiTheme="minorEastAsia" w:eastAsiaTheme="minorEastAsia"/>
          <w:color w:val="auto"/>
          <w:sz w:val="32"/>
          <w:szCs w:val="32"/>
          <w:highlight w:val="none"/>
        </w:rPr>
      </w:pPr>
      <w:bookmarkStart w:id="14" w:name="_Toc5452"/>
      <w:r>
        <w:rPr>
          <w:rFonts w:hint="eastAsia" w:cs="仿宋" w:asciiTheme="minorEastAsia" w:hAnsiTheme="minorEastAsia" w:eastAsiaTheme="minorEastAsia"/>
          <w:color w:val="auto"/>
          <w:sz w:val="32"/>
          <w:szCs w:val="32"/>
          <w:highlight w:val="none"/>
          <w:lang w:val="en-US" w:eastAsia="zh-CN"/>
        </w:rPr>
        <w:t>三</w:t>
      </w:r>
      <w:r>
        <w:rPr>
          <w:rFonts w:cs="仿宋" w:asciiTheme="minorEastAsia" w:hAnsiTheme="minorEastAsia" w:eastAsiaTheme="minorEastAsia"/>
          <w:color w:val="auto"/>
          <w:sz w:val="32"/>
          <w:szCs w:val="32"/>
          <w:highlight w:val="none"/>
        </w:rPr>
        <w:t>、推进绿色低碳转型升级，加快实现碳排放达峰</w:t>
      </w:r>
      <w:bookmarkEnd w:id="14"/>
    </w:p>
    <w:p>
      <w:pPr>
        <w:pStyle w:val="23"/>
        <w:spacing w:line="600" w:lineRule="exact"/>
        <w:ind w:firstLine="640"/>
        <w:rPr>
          <w:rFonts w:ascii="仿宋" w:hAnsi="仿宋" w:eastAsia="仿宋" w:cs="楷体"/>
          <w:color w:val="auto"/>
          <w:szCs w:val="32"/>
          <w:highlight w:val="none"/>
        </w:rPr>
      </w:pPr>
      <w:r>
        <w:rPr>
          <w:rFonts w:hint="eastAsia" w:ascii="仿宋" w:hAnsi="仿宋" w:eastAsia="仿宋" w:cs="楷体"/>
          <w:color w:val="auto"/>
          <w:szCs w:val="32"/>
          <w:highlight w:val="none"/>
        </w:rPr>
        <w:t>坚持新发展理念，以生态环境高水平保护促进经济高质量发展。充分发挥生态环境保护对经济发展产业结构的优化调整倒逼作用，</w:t>
      </w:r>
      <w:r>
        <w:rPr>
          <w:rFonts w:hint="eastAsia" w:ascii="仿宋" w:hAnsi="仿宋" w:eastAsia="仿宋"/>
          <w:color w:val="auto"/>
          <w:highlight w:val="none"/>
        </w:rPr>
        <w:t>全面开展碳达峰行动，加快</w:t>
      </w:r>
      <w:r>
        <w:rPr>
          <w:rFonts w:hint="eastAsia" w:ascii="仿宋" w:hAnsi="仿宋" w:eastAsia="仿宋" w:cs="楷体"/>
          <w:color w:val="auto"/>
          <w:szCs w:val="32"/>
          <w:highlight w:val="none"/>
        </w:rPr>
        <w:t>优化调整产业结构、能源结构，</w:t>
      </w:r>
      <w:r>
        <w:rPr>
          <w:rFonts w:hint="eastAsia" w:ascii="仿宋" w:hAnsi="仿宋" w:eastAsia="仿宋"/>
          <w:color w:val="auto"/>
          <w:highlight w:val="none"/>
        </w:rPr>
        <w:t>大力发展绿色循环经济，发展可再生能源，努力</w:t>
      </w:r>
      <w:r>
        <w:rPr>
          <w:rFonts w:hint="eastAsia" w:ascii="仿宋" w:hAnsi="仿宋" w:eastAsia="仿宋" w:cs="楷体"/>
          <w:color w:val="auto"/>
          <w:szCs w:val="32"/>
          <w:highlight w:val="none"/>
        </w:rPr>
        <w:t>实现绿色低碳发展转型奋斗目标。</w:t>
      </w:r>
    </w:p>
    <w:p>
      <w:pPr>
        <w:pStyle w:val="23"/>
        <w:spacing w:line="600" w:lineRule="exact"/>
        <w:ind w:firstLine="643"/>
        <w:outlineLvl w:val="1"/>
        <w:rPr>
          <w:rFonts w:asciiTheme="minorEastAsia" w:hAnsiTheme="minorEastAsia" w:eastAsiaTheme="minorEastAsia"/>
          <w:b/>
          <w:color w:val="auto"/>
          <w:highlight w:val="none"/>
        </w:rPr>
      </w:pPr>
      <w:bookmarkStart w:id="15" w:name="_Toc2991"/>
      <w:r>
        <w:rPr>
          <w:rFonts w:hint="eastAsia" w:asciiTheme="minorEastAsia" w:hAnsiTheme="minorEastAsia" w:eastAsiaTheme="minorEastAsia"/>
          <w:b/>
          <w:color w:val="auto"/>
          <w:highlight w:val="none"/>
        </w:rPr>
        <w:t>（一）全面开展碳达峰行动</w:t>
      </w:r>
      <w:bookmarkEnd w:id="15"/>
    </w:p>
    <w:p>
      <w:pPr>
        <w:pStyle w:val="23"/>
        <w:spacing w:line="600" w:lineRule="exact"/>
        <w:ind w:firstLine="640"/>
        <w:rPr>
          <w:rFonts w:ascii="仿宋" w:hAnsi="仿宋" w:eastAsia="仿宋"/>
          <w:color w:val="auto"/>
          <w:szCs w:val="32"/>
          <w:highlight w:val="none"/>
        </w:rPr>
      </w:pPr>
      <w:r>
        <w:rPr>
          <w:rFonts w:hint="eastAsia" w:ascii="仿宋" w:hAnsi="仿宋" w:eastAsia="仿宋"/>
          <w:color w:val="auto"/>
          <w:highlight w:val="none"/>
        </w:rPr>
        <w:t>加快推进城市绿色低碳发展，围绕碳排放达峰的总体目标，以主城区为主要切入点，以高耗能行业为重点突破口，着力落实相关降碳措施，同时推进交通、建筑、居民消费、生态等各方面的低碳发展，平衡经济社会整体发展加速峰值目标的实现。</w:t>
      </w:r>
      <w:r>
        <w:rPr>
          <w:rFonts w:ascii="仿宋" w:hAnsi="仿宋" w:eastAsia="仿宋"/>
          <w:color w:val="auto"/>
          <w:szCs w:val="32"/>
          <w:highlight w:val="none"/>
        </w:rPr>
        <w:t>开展</w:t>
      </w:r>
      <w:r>
        <w:rPr>
          <w:rFonts w:hint="eastAsia" w:ascii="仿宋" w:hAnsi="仿宋" w:eastAsia="仿宋"/>
          <w:color w:val="auto"/>
          <w:szCs w:val="32"/>
          <w:highlight w:val="none"/>
        </w:rPr>
        <w:t>落实</w:t>
      </w:r>
      <w:r>
        <w:rPr>
          <w:rFonts w:ascii="仿宋" w:hAnsi="仿宋" w:eastAsia="仿宋"/>
          <w:color w:val="auto"/>
          <w:szCs w:val="32"/>
          <w:highlight w:val="none"/>
        </w:rPr>
        <w:t>碳达峰行动，编制碳达峰行动方案及温室气体排放清单，</w:t>
      </w:r>
      <w:r>
        <w:rPr>
          <w:rFonts w:hint="eastAsia" w:ascii="仿宋" w:hAnsi="仿宋" w:eastAsia="仿宋"/>
          <w:color w:val="auto"/>
          <w:szCs w:val="32"/>
          <w:highlight w:val="none"/>
        </w:rPr>
        <w:t>明确调结构、转能源、增动力等控排减排措施，制定更为细化的碳达峰时间表，绘制更详尽的路线图，推进钢铁、建材、有色、化工、石化、电力、煤炭等重点行业的减排降碳行动，倒逼各县区、各部门尽快适应低碳化发展新节奏。</w:t>
      </w:r>
    </w:p>
    <w:p>
      <w:pPr>
        <w:pStyle w:val="23"/>
        <w:spacing w:line="600" w:lineRule="exact"/>
        <w:ind w:firstLine="640"/>
        <w:jc w:val="both"/>
        <w:rPr>
          <w:rFonts w:hint="eastAsia" w:ascii="仿宋" w:hAnsi="仿宋" w:eastAsia="仿宋"/>
          <w:color w:val="auto"/>
          <w:szCs w:val="32"/>
          <w:highlight w:val="none"/>
          <w:lang w:val="en-US" w:eastAsia="zh-CN"/>
        </w:rPr>
      </w:pPr>
      <w:r>
        <w:rPr>
          <w:rFonts w:hint="eastAsia" w:ascii="楷体" w:hAnsi="楷体" w:eastAsia="楷体"/>
          <w:bCs/>
          <w:color w:val="auto"/>
          <w:szCs w:val="32"/>
          <w:highlight w:val="none"/>
        </w:rPr>
        <w:t>1.制订碳排放达峰行动方案。</w:t>
      </w:r>
      <w:r>
        <w:rPr>
          <w:rFonts w:hint="eastAsia" w:ascii="仿宋" w:hAnsi="仿宋" w:eastAsia="仿宋"/>
          <w:color w:val="auto"/>
          <w:szCs w:val="32"/>
          <w:highlight w:val="none"/>
        </w:rPr>
        <w:t>围绕国家和省目标要求，科学确定全市二氧化碳排放达峰路径和目标，明确时间表、路线图、施工图，科学有序推进碳达峰各项工作。加快构建抚顺市碳达峰碳中和“1+N”政策体系，制定工业、能源、交通运输等重点领域及煤炭、电力、钢铁、石化等重点行业碳达峰实施方 案。实施以碳强度控制为主、碳排放总量控制为辅的制度，推动能源清洁低碳安全高效利用，促进工业、建筑、交通等领域低碳转型。2025年底前，炼油、乙烯、钢铁、水泥等重点工业行业能效达到标杆水平的产能比例超过30%</w:t>
      </w:r>
      <w:r>
        <w:rPr>
          <w:rFonts w:hint="eastAsia" w:ascii="仿宋" w:hAnsi="仿宋" w:eastAsia="仿宋"/>
          <w:color w:val="auto"/>
          <w:szCs w:val="32"/>
          <w:highlight w:val="none"/>
          <w:lang w:eastAsia="zh-CN"/>
        </w:rPr>
        <w:t>。</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rPr>
        <w:t>2.构建温室气体数据管理体系。</w:t>
      </w:r>
      <w:r>
        <w:rPr>
          <w:rFonts w:hint="eastAsia" w:ascii="仿宋" w:hAnsi="仿宋" w:eastAsia="仿宋"/>
          <w:color w:val="auto"/>
          <w:szCs w:val="32"/>
          <w:highlight w:val="none"/>
        </w:rPr>
        <w:t>推进温室气体统计核算制度建设，构建市县两级温室气体排放基础统计和核算工作体系。重点加强能源活动、工业生产过程、农业、土地利用变化与林业、废弃物处理五个领域的温室气体排放统计与核算工作，编制年度市级温室气体排放清单，做好排放因子测算和数据质量监测，建立温室气体排放数据库和信息系统，组建温室气体排放统计核算专职工作队伍和基础统计队伍。</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rPr>
        <w:t>3.</w:t>
      </w:r>
      <w:r>
        <w:rPr>
          <w:rFonts w:hint="eastAsia" w:ascii="楷体" w:hAnsi="楷体" w:eastAsia="楷体" w:cs="宋体"/>
          <w:bCs/>
          <w:color w:val="auto"/>
          <w:szCs w:val="32"/>
          <w:highlight w:val="none"/>
        </w:rPr>
        <w:t>统筹融合气体排放评价管理体系。</w:t>
      </w:r>
      <w:r>
        <w:rPr>
          <w:rFonts w:hint="eastAsia" w:ascii="仿宋" w:hAnsi="仿宋" w:eastAsia="仿宋"/>
          <w:color w:val="auto"/>
          <w:szCs w:val="32"/>
          <w:highlight w:val="none"/>
        </w:rPr>
        <w:t>将应对气候变化要求纳入“三线一单”（生态保护红线、环境质量底线、资源利用上线和生态环境准入清单）生态环境分区管控体系。落实国家、省关于煤炭消费削减替代、温室气体排放控制等政策，推动气候变化影响纳入环境影响评价，开展重点行业温室气体排放与排污许可管理相关试点。加快排污许可证管理信息平台功能改造升级，推进企事业单位污染物和温室气体排放相关数据的统一采集、相互补充、交叉校核。</w:t>
      </w:r>
    </w:p>
    <w:p>
      <w:pPr>
        <w:pStyle w:val="23"/>
        <w:spacing w:line="600" w:lineRule="exact"/>
        <w:ind w:firstLine="640"/>
        <w:rPr>
          <w:rFonts w:hint="eastAsia" w:ascii="仿宋" w:hAnsi="仿宋" w:eastAsia="仿宋" w:cs="宋体"/>
          <w:color w:val="auto"/>
          <w:szCs w:val="32"/>
          <w:highlight w:val="none"/>
        </w:rPr>
      </w:pPr>
      <w:r>
        <w:rPr>
          <w:rFonts w:hint="eastAsia" w:ascii="楷体" w:hAnsi="楷体" w:eastAsia="楷体"/>
          <w:bCs/>
          <w:color w:val="auto"/>
          <w:szCs w:val="32"/>
          <w:highlight w:val="none"/>
        </w:rPr>
        <w:t>4.统筹融合</w:t>
      </w:r>
      <w:r>
        <w:rPr>
          <w:rFonts w:hint="eastAsia" w:ascii="楷体" w:hAnsi="楷体" w:eastAsia="楷体" w:cs="宋体"/>
          <w:bCs/>
          <w:color w:val="auto"/>
          <w:szCs w:val="32"/>
          <w:highlight w:val="none"/>
        </w:rPr>
        <w:t>气体排放</w:t>
      </w:r>
      <w:r>
        <w:rPr>
          <w:rFonts w:hint="eastAsia" w:ascii="楷体" w:hAnsi="楷体" w:eastAsia="楷体"/>
          <w:bCs/>
          <w:color w:val="auto"/>
          <w:szCs w:val="32"/>
          <w:highlight w:val="none"/>
        </w:rPr>
        <w:t>监测体系。</w:t>
      </w:r>
      <w:r>
        <w:rPr>
          <w:rFonts w:hint="eastAsia" w:ascii="仿宋" w:hAnsi="仿宋" w:eastAsia="仿宋"/>
          <w:color w:val="auto"/>
          <w:szCs w:val="32"/>
          <w:highlight w:val="none"/>
        </w:rPr>
        <w:t>将温室气体监测纳入生态环境监测体系，试点开展石化、钢铁、装备制造业、煤炭开采等重点行业甲烷排放监测，探索大尺度区域甲烷、氢氟碳化物、六氟化硫、全氟化碳等非二氧化碳温室气体排放监测。</w:t>
      </w:r>
      <w:r>
        <w:rPr>
          <w:rFonts w:hint="eastAsia" w:ascii="仿宋" w:hAnsi="仿宋" w:eastAsia="仿宋" w:cs="宋体"/>
          <w:color w:val="auto"/>
          <w:szCs w:val="32"/>
          <w:highlight w:val="none"/>
        </w:rPr>
        <w:t>通过监测手段控制二氧化碳温室气体排放。</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lang w:val="en-US" w:eastAsia="zh-CN"/>
        </w:rPr>
        <w:t>5</w:t>
      </w:r>
      <w:r>
        <w:rPr>
          <w:rFonts w:hint="eastAsia" w:ascii="楷体" w:hAnsi="楷体" w:eastAsia="楷体"/>
          <w:bCs/>
          <w:color w:val="auto"/>
          <w:szCs w:val="32"/>
          <w:highlight w:val="none"/>
        </w:rPr>
        <w:t>.</w:t>
      </w:r>
      <w:r>
        <w:rPr>
          <w:rFonts w:hint="eastAsia" w:ascii="楷体" w:hAnsi="楷体" w:eastAsia="楷体" w:cs="宋体"/>
          <w:bCs/>
          <w:color w:val="auto"/>
          <w:szCs w:val="32"/>
          <w:highlight w:val="none"/>
        </w:rPr>
        <w:t>加强气体排放监管执法。</w:t>
      </w:r>
      <w:r>
        <w:rPr>
          <w:rFonts w:hint="eastAsia" w:ascii="仿宋" w:hAnsi="仿宋" w:eastAsia="仿宋"/>
          <w:color w:val="auto"/>
          <w:szCs w:val="32"/>
          <w:highlight w:val="none"/>
        </w:rPr>
        <w:t>建立碳排放权交易市场重点排放单位数据报送、核查和配额清缴履约等监督管理工作，依法依规统一组织实施生态环境监管执法。鼓励企业公开温室气体排放相关信息，支持部分地区率先探索企业碳排放信息公开制度。加强自然保护地、生态保护红线等重点区域生态保护监管，开展生态系统保护和修复成效监测评估，增强生态系统固碳功能和适应气候变化能力。</w:t>
      </w:r>
    </w:p>
    <w:p>
      <w:pPr>
        <w:pStyle w:val="23"/>
        <w:spacing w:line="600" w:lineRule="exact"/>
        <w:ind w:firstLine="640"/>
        <w:rPr>
          <w:rFonts w:hint="default" w:ascii="仿宋" w:hAnsi="仿宋" w:eastAsia="楷体" w:cs="宋体"/>
          <w:color w:val="auto"/>
          <w:szCs w:val="32"/>
          <w:highlight w:val="none"/>
          <w:lang w:val="en-US" w:eastAsia="zh-CN"/>
        </w:rPr>
      </w:pPr>
      <w:r>
        <w:rPr>
          <w:rFonts w:hint="eastAsia" w:ascii="楷体" w:hAnsi="楷体" w:eastAsia="楷体"/>
          <w:bCs/>
          <w:color w:val="auto"/>
          <w:szCs w:val="32"/>
          <w:highlight w:val="none"/>
          <w:lang w:val="en-US" w:eastAsia="zh-CN"/>
        </w:rPr>
        <w:t>6</w:t>
      </w:r>
      <w:r>
        <w:rPr>
          <w:rFonts w:hint="eastAsia" w:ascii="楷体" w:hAnsi="楷体" w:eastAsia="楷体"/>
          <w:bCs/>
          <w:color w:val="auto"/>
          <w:szCs w:val="32"/>
          <w:highlight w:val="none"/>
        </w:rPr>
        <w:t>.</w:t>
      </w:r>
      <w:r>
        <w:rPr>
          <w:rFonts w:hint="eastAsia" w:ascii="楷体" w:hAnsi="楷体" w:eastAsia="楷体" w:cs="宋体"/>
          <w:bCs/>
          <w:color w:val="auto"/>
          <w:szCs w:val="32"/>
          <w:highlight w:val="none"/>
          <w:lang w:val="en-US" w:eastAsia="zh-CN"/>
        </w:rPr>
        <w:t>控制非二氧化碳温室气体排放</w:t>
      </w:r>
      <w:r>
        <w:rPr>
          <w:rFonts w:hint="eastAsia" w:ascii="楷体" w:hAnsi="楷体" w:eastAsia="楷体" w:cs="宋体"/>
          <w:bCs/>
          <w:color w:val="auto"/>
          <w:szCs w:val="32"/>
          <w:highlight w:val="none"/>
        </w:rPr>
        <w:t>。</w:t>
      </w:r>
      <w:r>
        <w:rPr>
          <w:rFonts w:hint="eastAsia" w:ascii="仿宋" w:hAnsi="仿宋" w:eastAsia="仿宋"/>
          <w:color w:val="auto"/>
          <w:szCs w:val="32"/>
          <w:highlight w:val="none"/>
          <w:lang w:val="en-US" w:eastAsia="zh-CN"/>
        </w:rPr>
        <w:t>严格石化和化工行业环境监管，减少无组织温室气体排放。加强标准化规模种植养殖，选育高产低排放良种，推广测土配方施肥，控制农田和畜禽养殖甲烷和氧化亚氮排放。加强污水处理厂和垃圾填埋场甲烷排放控制和回收利用。</w:t>
      </w:r>
    </w:p>
    <w:p>
      <w:pPr>
        <w:pStyle w:val="23"/>
        <w:spacing w:line="600" w:lineRule="exact"/>
        <w:ind w:firstLine="640"/>
        <w:rPr>
          <w:rFonts w:ascii="仿宋" w:hAnsi="仿宋" w:eastAsia="仿宋" w:cs="宋体"/>
          <w:color w:val="auto"/>
          <w:szCs w:val="32"/>
          <w:highlight w:val="none"/>
        </w:rPr>
      </w:pPr>
      <w:r>
        <w:rPr>
          <w:rFonts w:hint="eastAsia" w:ascii="楷体" w:hAnsi="楷体" w:eastAsia="楷体"/>
          <w:bCs/>
          <w:color w:val="auto"/>
          <w:szCs w:val="32"/>
          <w:highlight w:val="none"/>
          <w:lang w:val="en-US" w:eastAsia="zh-CN"/>
        </w:rPr>
        <w:t>7</w:t>
      </w:r>
      <w:r>
        <w:rPr>
          <w:rFonts w:hint="eastAsia" w:ascii="楷体" w:hAnsi="楷体" w:eastAsia="楷体"/>
          <w:bCs/>
          <w:color w:val="auto"/>
          <w:szCs w:val="32"/>
          <w:highlight w:val="none"/>
        </w:rPr>
        <w:t>.</w:t>
      </w:r>
      <w:r>
        <w:rPr>
          <w:rFonts w:hint="eastAsia" w:ascii="楷体" w:hAnsi="楷体" w:eastAsia="楷体"/>
          <w:color w:val="auto"/>
          <w:szCs w:val="32"/>
          <w:highlight w:val="none"/>
        </w:rPr>
        <w:t>积极参与全国碳排放权交易。</w:t>
      </w:r>
      <w:r>
        <w:rPr>
          <w:rFonts w:hint="eastAsia" w:ascii="仿宋" w:hAnsi="仿宋" w:eastAsia="仿宋"/>
          <w:color w:val="auto"/>
          <w:szCs w:val="32"/>
          <w:highlight w:val="none"/>
        </w:rPr>
        <w:t>组织开展石化、化工、建材、钢铁、有色、造纸、电力等重点行业碳排放核查，为重点行业碳减排、碳达峰及碳排放权交易市场扩容夯实工作基础。配合</w:t>
      </w:r>
      <w:r>
        <w:rPr>
          <w:rFonts w:hint="eastAsia" w:ascii="仿宋" w:hAnsi="仿宋" w:eastAsia="仿宋"/>
          <w:color w:val="auto"/>
          <w:szCs w:val="32"/>
          <w:highlight w:val="none"/>
          <w:lang w:val="en-US" w:eastAsia="zh-CN"/>
        </w:rPr>
        <w:t>省</w:t>
      </w:r>
      <w:r>
        <w:rPr>
          <w:rFonts w:hint="eastAsia" w:ascii="仿宋" w:hAnsi="仿宋" w:eastAsia="仿宋"/>
          <w:color w:val="auto"/>
          <w:szCs w:val="32"/>
          <w:highlight w:val="none"/>
        </w:rPr>
        <w:t>碳排放交易，开展重点排放单位碳配额分配及清缴履约工作，运用市场机制促进重点排放单位节能减排降碳。</w:t>
      </w:r>
      <w:r>
        <w:rPr>
          <w:rFonts w:hint="eastAsia" w:ascii="仿宋" w:hAnsi="仿宋" w:eastAsia="仿宋" w:cs="宋体"/>
          <w:color w:val="auto"/>
          <w:szCs w:val="32"/>
          <w:highlight w:val="none"/>
        </w:rPr>
        <w:t>力争在2025前实现碳排放正式交易。</w:t>
      </w:r>
    </w:p>
    <w:p>
      <w:pPr>
        <w:pStyle w:val="23"/>
        <w:spacing w:line="600" w:lineRule="exact"/>
        <w:ind w:firstLine="640"/>
        <w:rPr>
          <w:rFonts w:hint="eastAsia" w:ascii="仿宋" w:hAnsi="仿宋" w:eastAsia="仿宋" w:cs="宋体"/>
          <w:color w:val="auto"/>
          <w:szCs w:val="32"/>
          <w:highlight w:val="none"/>
        </w:rPr>
      </w:pPr>
      <w:r>
        <w:rPr>
          <w:rFonts w:hint="eastAsia" w:ascii="楷体" w:hAnsi="楷体" w:eastAsia="楷体"/>
          <w:bCs/>
          <w:color w:val="auto"/>
          <w:szCs w:val="32"/>
          <w:highlight w:val="none"/>
          <w:lang w:val="en-US" w:eastAsia="zh-CN"/>
        </w:rPr>
        <w:t>8</w:t>
      </w:r>
      <w:r>
        <w:rPr>
          <w:rFonts w:hint="eastAsia" w:ascii="楷体" w:hAnsi="楷体" w:eastAsia="楷体"/>
          <w:bCs/>
          <w:color w:val="auto"/>
          <w:szCs w:val="32"/>
          <w:highlight w:val="none"/>
        </w:rPr>
        <w:t>.</w:t>
      </w:r>
      <w:r>
        <w:rPr>
          <w:rFonts w:hint="eastAsia" w:ascii="楷体" w:hAnsi="楷体" w:eastAsia="楷体" w:cs="宋体"/>
          <w:bCs/>
          <w:color w:val="auto"/>
          <w:szCs w:val="32"/>
          <w:highlight w:val="none"/>
        </w:rPr>
        <w:t>开展低碳试点示范创建。</w:t>
      </w:r>
      <w:r>
        <w:rPr>
          <w:rFonts w:hint="eastAsia" w:ascii="仿宋" w:hAnsi="仿宋" w:eastAsia="仿宋" w:cs="宋体"/>
          <w:color w:val="auto"/>
          <w:szCs w:val="32"/>
          <w:highlight w:val="none"/>
        </w:rPr>
        <w:t>推进近零碳排放示范工程和碳中和示范区建设，鼓励推动开展低碳县、镇、低碳工业园区、低碳产业示范园区、低碳社区等试点示范，为全市尽快达峰提供可复制、可借鉴路径模式。推进CCUS试点在石油化工、煤电、钢铁等行业示范建设。建立气候绩效评价标准，制定投资负面清单，引导更多资金投向应对气候变化领域的投资和融资活动，拒绝高碳投资。鼓励开展碳普惠试点建设。</w:t>
      </w:r>
    </w:p>
    <w:p>
      <w:pPr>
        <w:pStyle w:val="23"/>
        <w:spacing w:line="600" w:lineRule="exact"/>
        <w:ind w:firstLine="640"/>
        <w:rPr>
          <w:rFonts w:hint="default" w:ascii="仿宋" w:hAnsi="仿宋" w:eastAsia="仿宋" w:cs="宋体"/>
          <w:color w:val="auto"/>
          <w:szCs w:val="32"/>
          <w:highlight w:val="none"/>
          <w:lang w:val="en-US" w:eastAsia="zh-CN"/>
        </w:rPr>
      </w:pPr>
      <w:r>
        <w:rPr>
          <w:rFonts w:hint="eastAsia" w:ascii="楷体" w:hAnsi="楷体" w:eastAsia="楷体"/>
          <w:bCs/>
          <w:color w:val="auto"/>
          <w:szCs w:val="32"/>
          <w:highlight w:val="none"/>
          <w:lang w:val="en-US" w:eastAsia="zh-CN"/>
        </w:rPr>
        <w:t>9</w:t>
      </w:r>
      <w:r>
        <w:rPr>
          <w:rFonts w:hint="eastAsia" w:ascii="楷体" w:hAnsi="楷体" w:eastAsia="楷体"/>
          <w:bCs/>
          <w:color w:val="auto"/>
          <w:szCs w:val="32"/>
          <w:highlight w:val="none"/>
        </w:rPr>
        <w:t>.</w:t>
      </w:r>
      <w:r>
        <w:rPr>
          <w:rFonts w:hint="eastAsia" w:ascii="楷体" w:hAnsi="楷体" w:eastAsia="楷体"/>
          <w:bCs/>
          <w:color w:val="auto"/>
          <w:kern w:val="0"/>
          <w:szCs w:val="32"/>
          <w:highlight w:val="none"/>
          <w:lang w:val="en-US" w:eastAsia="zh-CN"/>
        </w:rPr>
        <w:t>增加生态系统碳汇总量</w:t>
      </w:r>
      <w:r>
        <w:rPr>
          <w:rFonts w:hint="eastAsia" w:ascii="楷体" w:hAnsi="楷体" w:eastAsia="楷体"/>
          <w:bCs/>
          <w:color w:val="auto"/>
          <w:kern w:val="0"/>
          <w:szCs w:val="32"/>
          <w:highlight w:val="none"/>
        </w:rPr>
        <w:t>。</w:t>
      </w:r>
      <w:r>
        <w:rPr>
          <w:rFonts w:hint="eastAsia" w:ascii="仿宋" w:hAnsi="仿宋" w:eastAsia="仿宋" w:cs="宋体"/>
          <w:color w:val="auto"/>
          <w:szCs w:val="32"/>
          <w:highlight w:val="none"/>
          <w:lang w:val="en-US" w:eastAsia="zh-CN"/>
        </w:rPr>
        <w:t>发挥森林、草地、湿地、农田等生态系统固碳作用，增加陆地生态系统碳汇量。重点强化辽东山地丘陵生态屏障绿碳增汇，优化森林资源结构与分布格局，实现森林蓄积量、森林碳密度、总碳储量的全面增长。</w:t>
      </w:r>
    </w:p>
    <w:p>
      <w:pPr>
        <w:pStyle w:val="23"/>
        <w:spacing w:line="600" w:lineRule="exact"/>
        <w:ind w:firstLine="640"/>
        <w:rPr>
          <w:rFonts w:hint="eastAsia" w:ascii="仿宋" w:hAnsi="仿宋" w:eastAsia="仿宋" w:cs="宋体"/>
          <w:color w:val="auto"/>
          <w:szCs w:val="32"/>
          <w:highlight w:val="none"/>
        </w:rPr>
      </w:pPr>
      <w:r>
        <w:rPr>
          <w:rFonts w:hint="eastAsia" w:ascii="楷体" w:hAnsi="楷体" w:eastAsia="楷体"/>
          <w:bCs/>
          <w:color w:val="auto"/>
          <w:szCs w:val="32"/>
          <w:highlight w:val="none"/>
          <w:lang w:val="en-US" w:eastAsia="zh-CN"/>
        </w:rPr>
        <w:t>10</w:t>
      </w:r>
      <w:r>
        <w:rPr>
          <w:rFonts w:hint="eastAsia" w:ascii="楷体" w:hAnsi="楷体" w:eastAsia="楷体"/>
          <w:bCs/>
          <w:color w:val="auto"/>
          <w:szCs w:val="32"/>
          <w:highlight w:val="none"/>
        </w:rPr>
        <w:t>.</w:t>
      </w:r>
      <w:r>
        <w:rPr>
          <w:rFonts w:hint="eastAsia" w:ascii="楷体" w:hAnsi="楷体" w:eastAsia="楷体"/>
          <w:bCs/>
          <w:color w:val="auto"/>
          <w:kern w:val="0"/>
          <w:szCs w:val="32"/>
          <w:highlight w:val="none"/>
        </w:rPr>
        <w:t>开展实现碳中和目标应对行动。</w:t>
      </w:r>
      <w:r>
        <w:rPr>
          <w:rFonts w:hint="eastAsia" w:ascii="仿宋" w:hAnsi="仿宋" w:eastAsia="仿宋" w:cs="宋体"/>
          <w:color w:val="auto"/>
          <w:szCs w:val="32"/>
          <w:highlight w:val="none"/>
        </w:rPr>
        <w:t>在推进天然林保护修复、建立国家森林公园、湿地公园等自然保护地体系为主的生态治理项目基础上，进一步在全市范围内大力推进国土绿化专项行动，继续深化还林还草工程建设，开展相关技术项目示范开发。着力发展非化石能源和清洁能源等替代传统一次能源，优化产业结构的调整和重点行业转型发展。组织开展低碳产品认证、碳足迹认证和碳中和认证。</w:t>
      </w:r>
    </w:p>
    <w:p>
      <w:pPr>
        <w:pStyle w:val="23"/>
        <w:spacing w:line="600" w:lineRule="exact"/>
        <w:ind w:firstLine="640"/>
        <w:rPr>
          <w:rFonts w:hint="default" w:ascii="仿宋" w:hAnsi="仿宋" w:eastAsia="仿宋" w:cs="宋体"/>
          <w:color w:val="auto"/>
          <w:kern w:val="2"/>
          <w:sz w:val="32"/>
          <w:szCs w:val="32"/>
          <w:highlight w:val="none"/>
          <w:lang w:val="en-US" w:eastAsia="zh-CN" w:bidi="ar-SA"/>
        </w:rPr>
      </w:pPr>
      <w:r>
        <w:rPr>
          <w:rFonts w:hint="eastAsia" w:ascii="楷体" w:hAnsi="楷体" w:eastAsia="楷体"/>
          <w:bCs/>
          <w:color w:val="auto"/>
          <w:szCs w:val="32"/>
          <w:highlight w:val="none"/>
          <w:lang w:val="en-US" w:eastAsia="zh-CN"/>
        </w:rPr>
        <w:t>11</w:t>
      </w:r>
      <w:r>
        <w:rPr>
          <w:rFonts w:hint="eastAsia" w:ascii="楷体" w:hAnsi="楷体" w:eastAsia="楷体"/>
          <w:bCs/>
          <w:color w:val="auto"/>
          <w:szCs w:val="32"/>
          <w:highlight w:val="none"/>
        </w:rPr>
        <w:t>.</w:t>
      </w:r>
      <w:r>
        <w:rPr>
          <w:rFonts w:hint="eastAsia" w:ascii="楷体" w:hAnsi="楷体" w:eastAsia="楷体"/>
          <w:bCs/>
          <w:color w:val="auto"/>
          <w:szCs w:val="32"/>
          <w:highlight w:val="none"/>
          <w:lang w:val="en-US" w:eastAsia="zh-CN"/>
        </w:rPr>
        <w:t>提升气候变化适应能力</w:t>
      </w:r>
      <w:r>
        <w:rPr>
          <w:rFonts w:hint="eastAsia" w:ascii="楷体" w:hAnsi="楷体" w:eastAsia="楷体"/>
          <w:bCs/>
          <w:color w:val="auto"/>
          <w:kern w:val="0"/>
          <w:szCs w:val="32"/>
          <w:highlight w:val="none"/>
        </w:rPr>
        <w:t>。</w:t>
      </w:r>
      <w:r>
        <w:rPr>
          <w:rFonts w:hint="eastAsia" w:ascii="仿宋" w:hAnsi="仿宋" w:eastAsia="仿宋" w:cs="宋体"/>
          <w:color w:val="auto"/>
          <w:kern w:val="2"/>
          <w:sz w:val="32"/>
          <w:szCs w:val="32"/>
          <w:highlight w:val="none"/>
          <w:lang w:val="en-US" w:eastAsia="zh-CN" w:bidi="ar-SA"/>
        </w:rPr>
        <w:t>加强辽东绿色经济区生态屏障生态保护，推进生态脆弱河流生态修复，完善水文监测网，建立水资源、洪旱灾害监测及预警预报体系。依法依规采取生态保护红线和自然保护地等空间规划隔离措施，保护典型生态区和生态脆弱区，提高林草生态系统质量和气候适应性与韧性，推进沙化土地、退化草原等脆弱生态系统修复。发展特色农产品种植，开展种植业、智慧型农业适应气候变化技术试点示范。提高基础设施系统及重大工程项目建设的抗风险能力及灾害恢复力，提升系统应急能力。提高基础设施和重点行业气候适应能力，强化公共交通、水利水电工程、能源工程与电网安全、城市及农村等基础设施建设，增强工业、建筑、旅游等重点行业适应及应急处置能力。加强森林种质资源保存和利用，提高天然林、重点防护林气候适应能力，完善林业有害生物监测预警系统、森林火灾、林火阻隔系统和应急处置系统，加大森林生物多样性保护力度。加强草地防火与病虫害防止，加快沙化土地和退耕植被恢复，营造防沙林。</w:t>
      </w:r>
    </w:p>
    <w:p>
      <w:pPr>
        <w:spacing w:line="600" w:lineRule="exact"/>
        <w:ind w:firstLine="642" w:firstLineChars="200"/>
        <w:outlineLvl w:val="1"/>
        <w:rPr>
          <w:rFonts w:cs="宋体" w:asciiTheme="minorEastAsia" w:hAnsiTheme="minorEastAsia"/>
          <w:b/>
          <w:color w:val="auto"/>
          <w:sz w:val="32"/>
          <w:szCs w:val="32"/>
          <w:highlight w:val="none"/>
        </w:rPr>
      </w:pPr>
      <w:bookmarkStart w:id="16" w:name="_Toc6784"/>
      <w:r>
        <w:rPr>
          <w:rFonts w:hint="eastAsia" w:cs="宋体" w:asciiTheme="minorEastAsia" w:hAnsiTheme="minorEastAsia"/>
          <w:b/>
          <w:color w:val="auto"/>
          <w:sz w:val="32"/>
          <w:szCs w:val="32"/>
          <w:highlight w:val="none"/>
        </w:rPr>
        <w:t>（</w:t>
      </w:r>
      <w:r>
        <w:rPr>
          <w:rFonts w:hint="eastAsia" w:cs="宋体" w:asciiTheme="minorEastAsia" w:hAnsiTheme="minorEastAsia"/>
          <w:b/>
          <w:color w:val="auto"/>
          <w:sz w:val="32"/>
          <w:szCs w:val="32"/>
          <w:highlight w:val="none"/>
          <w:lang w:val="en-US" w:eastAsia="zh-CN"/>
        </w:rPr>
        <w:t>二</w:t>
      </w:r>
      <w:r>
        <w:rPr>
          <w:rFonts w:hint="eastAsia" w:cs="宋体" w:asciiTheme="minorEastAsia" w:hAnsiTheme="minorEastAsia"/>
          <w:b/>
          <w:color w:val="auto"/>
          <w:sz w:val="32"/>
          <w:szCs w:val="32"/>
          <w:highlight w:val="none"/>
        </w:rPr>
        <w:t>）优化调整产业结构</w:t>
      </w:r>
      <w:bookmarkEnd w:id="16"/>
    </w:p>
    <w:p>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着力调整产业布局，按照“三线一单”生态环境分区管控要求，落实产业布局及项目准入，严格执行高耗能、高污染和资源型行业准入条件。新增“两高”行业项目污染物排放必须减量替代，实施“上新压旧”“上大压小”“上高压低”。</w:t>
      </w:r>
      <w:r>
        <w:rPr>
          <w:rFonts w:hint="eastAsia" w:ascii="仿宋" w:hAnsi="仿宋" w:eastAsia="仿宋" w:cs="宋体"/>
          <w:color w:val="auto"/>
          <w:sz w:val="32"/>
          <w:szCs w:val="32"/>
          <w:highlight w:val="none"/>
          <w:lang w:val="en-US" w:eastAsia="zh-CN"/>
        </w:rPr>
        <w:t>实行更加严格的节能审查制度，加强“两高”项目准入管理。</w:t>
      </w:r>
      <w:r>
        <w:rPr>
          <w:rFonts w:ascii="仿宋" w:hAnsi="仿宋" w:eastAsia="仿宋" w:cs="宋体"/>
          <w:color w:val="auto"/>
          <w:sz w:val="32"/>
          <w:szCs w:val="32"/>
          <w:highlight w:val="none"/>
        </w:rPr>
        <w:t>严控化石能源消费总量，大力发展非化石能源。加强工业领域节能减排，强化大气污染防治重点行业深度治理。</w:t>
      </w:r>
      <w:r>
        <w:rPr>
          <w:rFonts w:hint="eastAsia" w:ascii="仿宋" w:hAnsi="仿宋" w:eastAsia="仿宋" w:cs="宋体"/>
          <w:color w:val="auto"/>
          <w:sz w:val="32"/>
          <w:szCs w:val="32"/>
          <w:highlight w:val="none"/>
        </w:rPr>
        <w:t>壮大绿色产业规模，发展节能环保产业、清洁生产产业、清洁能源产业，培育发展新动能。</w:t>
      </w:r>
      <w:r>
        <w:rPr>
          <w:rFonts w:ascii="仿宋" w:hAnsi="仿宋" w:eastAsia="仿宋" w:cs="宋体"/>
          <w:color w:val="auto"/>
          <w:sz w:val="32"/>
          <w:szCs w:val="32"/>
          <w:highlight w:val="none"/>
        </w:rPr>
        <w:t>推进农业农村、城镇建设、交通运输和消费流通领域节能增效。</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rPr>
        <w:t>1.推动重点企业绿色转型。</w:t>
      </w:r>
      <w:r>
        <w:rPr>
          <w:rFonts w:hint="eastAsia" w:ascii="仿宋" w:hAnsi="仿宋" w:eastAsia="仿宋" w:cs="宋体"/>
          <w:color w:val="auto"/>
          <w:szCs w:val="32"/>
          <w:highlight w:val="none"/>
        </w:rPr>
        <w:t>推进能源、冶金、石化、建材有色、农副食品加工等行业清洁生产改造或清洁化改造。加快</w:t>
      </w:r>
      <w:r>
        <w:rPr>
          <w:rFonts w:hint="eastAsia" w:ascii="仿宋" w:hAnsi="仿宋" w:eastAsia="仿宋"/>
          <w:color w:val="auto"/>
          <w:szCs w:val="32"/>
          <w:highlight w:val="none"/>
        </w:rPr>
        <w:t>抚顺石化推进减油增化，推进炼化一体化发展，着力发展精细化工产业，建设有实力、有活力、有竞争力的环保型企业，实现石化行业的高质量绿色发展。推进抚顺特钢等企业打造高端新材料环保产业，支持抚矿集团推进煤炭精细化开采，培育发展城市生活垃圾焚烧发电、油页岩热电、页岩油深加工、光伏新能源、</w:t>
      </w:r>
      <w:r>
        <w:rPr>
          <w:rFonts w:hint="eastAsia" w:ascii="仿宋" w:hAnsi="仿宋" w:eastAsia="仿宋"/>
          <w:color w:val="auto"/>
          <w:szCs w:val="32"/>
          <w:highlight w:val="none"/>
          <w:lang w:eastAsia="zh-CN"/>
        </w:rPr>
        <w:t>固体废物</w:t>
      </w:r>
      <w:r>
        <w:rPr>
          <w:rFonts w:hint="eastAsia" w:ascii="仿宋" w:hAnsi="仿宋" w:eastAsia="仿宋"/>
          <w:color w:val="auto"/>
          <w:szCs w:val="32"/>
          <w:highlight w:val="none"/>
        </w:rPr>
        <w:t>研究与综合利用等接续替代产业。</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rPr>
        <w:t>2.</w:t>
      </w:r>
      <w:r>
        <w:rPr>
          <w:rFonts w:hint="eastAsia" w:ascii="楷体" w:hAnsi="楷体" w:eastAsia="楷体" w:cs="宋体"/>
          <w:bCs/>
          <w:color w:val="auto"/>
          <w:szCs w:val="32"/>
          <w:highlight w:val="none"/>
        </w:rPr>
        <w:t>推动</w:t>
      </w:r>
      <w:r>
        <w:rPr>
          <w:rFonts w:hint="eastAsia" w:ascii="仿宋" w:hAnsi="仿宋" w:eastAsia="仿宋"/>
          <w:color w:val="auto"/>
          <w:highlight w:val="none"/>
        </w:rPr>
        <w:t>绿</w:t>
      </w:r>
      <w:r>
        <w:rPr>
          <w:rFonts w:hint="eastAsia" w:ascii="楷体" w:hAnsi="楷体" w:eastAsia="楷体" w:cs="宋体"/>
          <w:bCs/>
          <w:color w:val="auto"/>
          <w:szCs w:val="32"/>
          <w:highlight w:val="none"/>
        </w:rPr>
        <w:t>色循环经济产业发展。</w:t>
      </w:r>
      <w:r>
        <w:rPr>
          <w:rFonts w:hint="eastAsia" w:ascii="仿宋" w:hAnsi="仿宋" w:eastAsia="仿宋"/>
          <w:color w:val="auto"/>
          <w:szCs w:val="32"/>
          <w:highlight w:val="none"/>
        </w:rPr>
        <w:t>加快培育发展节能环保、清洁生产、清洁能源等绿色产业，不断扩大煤矸石整合利用、垃圾处理、废品再利用等循环经济产业规模。加快辽宁绿色经济区建设，引导推进绿色有机种植、森林资源培育等产业发展。发挥新宾、清源、抚顺县生态资源优势，因地制宜推进生态旅游、生态文化等产业发展</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lang w:val="en-US" w:eastAsia="zh-CN"/>
        </w:rPr>
        <w:t>推进创建全域生态旅游示范区。</w:t>
      </w:r>
      <w:r>
        <w:rPr>
          <w:rFonts w:hint="eastAsia" w:ascii="仿宋" w:hAnsi="仿宋" w:eastAsia="仿宋"/>
          <w:color w:val="auto"/>
          <w:szCs w:val="32"/>
          <w:highlight w:val="none"/>
        </w:rPr>
        <w:t>大力发展现代服务业，重点发展绿色物流仓储、绿色交通等相关产业。</w:t>
      </w:r>
      <w:bookmarkStart w:id="17" w:name="_Toc10421"/>
    </w:p>
    <w:p>
      <w:pPr>
        <w:pStyle w:val="23"/>
        <w:spacing w:line="600" w:lineRule="exact"/>
        <w:ind w:firstLine="640"/>
        <w:rPr>
          <w:rFonts w:ascii="仿宋" w:hAnsi="仿宋" w:eastAsia="仿宋"/>
          <w:color w:val="auto"/>
          <w:szCs w:val="32"/>
          <w:highlight w:val="none"/>
        </w:rPr>
      </w:pPr>
      <w:r>
        <w:rPr>
          <w:rFonts w:hint="eastAsia" w:ascii="楷体" w:hAnsi="楷体" w:eastAsia="楷体" w:cs="宋体"/>
          <w:bCs/>
          <w:color w:val="auto"/>
          <w:szCs w:val="32"/>
          <w:highlight w:val="none"/>
        </w:rPr>
        <w:t>3.加快发展节能环保产业。</w:t>
      </w:r>
      <w:r>
        <w:rPr>
          <w:rFonts w:hint="eastAsia" w:ascii="仿宋" w:hAnsi="仿宋" w:eastAsia="仿宋"/>
          <w:color w:val="auto"/>
          <w:szCs w:val="32"/>
          <w:highlight w:val="none"/>
        </w:rPr>
        <w:t>重点支持冶金、石化、建材等高耗能企业实施节能技术改造，加快推广运用先进节能、节水、节材设备及工艺、技术，左右节能产业。围绕大气、水</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rPr>
        <w:t>土壤等污染防治需求，重点支持加快改善环境质量、补齐生态环境基础设施建设短板项目及环境安全保障项目建设，做深环保产业。</w:t>
      </w:r>
    </w:p>
    <w:p>
      <w:pPr>
        <w:pStyle w:val="23"/>
        <w:spacing w:line="600" w:lineRule="exact"/>
        <w:ind w:firstLine="643"/>
        <w:outlineLvl w:val="1"/>
        <w:rPr>
          <w:rFonts w:asciiTheme="minorEastAsia" w:hAnsiTheme="minorEastAsia" w:eastAsiaTheme="minorEastAsia"/>
          <w:b/>
          <w:color w:val="auto"/>
          <w:highlight w:val="none"/>
        </w:rPr>
      </w:pPr>
      <w:bookmarkStart w:id="18" w:name="_Toc32086"/>
      <w:r>
        <w:rPr>
          <w:rFonts w:hint="eastAsia" w:cs="宋体" w:asciiTheme="minorEastAsia" w:hAnsiTheme="minorEastAsia" w:eastAsiaTheme="minorEastAsia"/>
          <w:b/>
          <w:color w:val="auto"/>
          <w:szCs w:val="32"/>
          <w:highlight w:val="none"/>
        </w:rPr>
        <w:t>（</w:t>
      </w:r>
      <w:r>
        <w:rPr>
          <w:rFonts w:hint="eastAsia" w:cs="宋体" w:asciiTheme="minorEastAsia" w:hAnsiTheme="minorEastAsia" w:eastAsiaTheme="minorEastAsia"/>
          <w:b/>
          <w:color w:val="auto"/>
          <w:szCs w:val="32"/>
          <w:highlight w:val="none"/>
          <w:lang w:val="en-US" w:eastAsia="zh-CN"/>
        </w:rPr>
        <w:t>三</w:t>
      </w:r>
      <w:r>
        <w:rPr>
          <w:rFonts w:hint="eastAsia" w:cs="宋体" w:asciiTheme="minorEastAsia" w:hAnsiTheme="minorEastAsia" w:eastAsiaTheme="minorEastAsia"/>
          <w:b/>
          <w:color w:val="auto"/>
          <w:szCs w:val="32"/>
          <w:highlight w:val="none"/>
        </w:rPr>
        <w:t>）优化调整</w:t>
      </w:r>
      <w:r>
        <w:rPr>
          <w:rFonts w:hint="eastAsia" w:asciiTheme="minorEastAsia" w:hAnsiTheme="minorEastAsia" w:eastAsiaTheme="minorEastAsia"/>
          <w:b/>
          <w:color w:val="auto"/>
          <w:highlight w:val="none"/>
        </w:rPr>
        <w:t>能源消费结构</w:t>
      </w:r>
      <w:bookmarkEnd w:id="17"/>
      <w:bookmarkEnd w:id="18"/>
    </w:p>
    <w:p>
      <w:pPr>
        <w:spacing w:line="600" w:lineRule="exact"/>
        <w:ind w:firstLine="643"/>
        <w:rPr>
          <w:rFonts w:ascii="楷体" w:hAnsi="楷体" w:eastAsia="楷体" w:cs="宋体"/>
          <w:color w:val="auto"/>
          <w:sz w:val="32"/>
          <w:szCs w:val="32"/>
          <w:highlight w:val="none"/>
        </w:rPr>
      </w:pPr>
      <w:r>
        <w:rPr>
          <w:rFonts w:hint="eastAsia" w:ascii="宋体" w:hAnsi="宋体" w:eastAsia="宋体" w:cs="Times New Roman"/>
          <w:bCs/>
          <w:color w:val="auto"/>
          <w:sz w:val="32"/>
          <w:szCs w:val="32"/>
          <w:highlight w:val="none"/>
        </w:rPr>
        <w:t>1.</w:t>
      </w:r>
      <w:r>
        <w:rPr>
          <w:rFonts w:hint="eastAsia" w:ascii="楷体" w:hAnsi="楷体" w:eastAsia="楷体" w:cs="Times New Roman"/>
          <w:bCs/>
          <w:color w:val="auto"/>
          <w:sz w:val="32"/>
          <w:szCs w:val="32"/>
          <w:highlight w:val="none"/>
        </w:rPr>
        <w:t>深入推进能源消费和碳排放总量及强度双控行动。</w:t>
      </w:r>
      <w:r>
        <w:rPr>
          <w:rFonts w:hint="eastAsia" w:ascii="仿宋" w:hAnsi="仿宋" w:eastAsia="仿宋" w:cs="宋体"/>
          <w:color w:val="auto"/>
          <w:sz w:val="32"/>
          <w:szCs w:val="32"/>
          <w:highlight w:val="none"/>
        </w:rPr>
        <w:t>全面构建清洁低碳、安全高效的能源体系，推动非化石能源成为能源消费增量的主体。到2025年全市非化石能源发电装机占比</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lang w:val="en-US" w:eastAsia="zh-CN"/>
        </w:rPr>
        <w:t>单位GDP能耗强度完成省政府下达指标</w:t>
      </w:r>
      <w:r>
        <w:rPr>
          <w:rFonts w:hint="eastAsia" w:ascii="仿宋" w:hAnsi="仿宋" w:eastAsia="仿宋" w:cs="宋体"/>
          <w:color w:val="auto"/>
          <w:sz w:val="32"/>
          <w:szCs w:val="32"/>
          <w:highlight w:val="none"/>
        </w:rPr>
        <w:t>，为20</w:t>
      </w:r>
      <w:r>
        <w:rPr>
          <w:rFonts w:hint="eastAsia" w:ascii="仿宋" w:hAnsi="仿宋" w:eastAsia="仿宋" w:cs="宋体"/>
          <w:color w:val="auto"/>
          <w:sz w:val="32"/>
          <w:szCs w:val="32"/>
          <w:highlight w:val="none"/>
          <w:lang w:val="en-US" w:eastAsia="zh-CN"/>
        </w:rPr>
        <w:t>30</w:t>
      </w:r>
      <w:r>
        <w:rPr>
          <w:rFonts w:hint="eastAsia" w:ascii="仿宋" w:hAnsi="仿宋" w:eastAsia="仿宋" w:cs="宋体"/>
          <w:color w:val="auto"/>
          <w:sz w:val="32"/>
          <w:szCs w:val="32"/>
          <w:highlight w:val="none"/>
        </w:rPr>
        <w:t>年左右实现碳达峰提供有力支撑。</w:t>
      </w:r>
      <w:r>
        <w:rPr>
          <w:rFonts w:ascii="仿宋" w:hAnsi="仿宋" w:eastAsia="仿宋"/>
          <w:color w:val="auto"/>
          <w:sz w:val="32"/>
          <w:szCs w:val="32"/>
          <w:highlight w:val="none"/>
          <w:shd w:val="clear" w:color="auto" w:fill="FFFFFF"/>
        </w:rPr>
        <w:t>控制工业用煤，确保重点企业煤炭消费总量持续下降。</w:t>
      </w:r>
      <w:r>
        <w:rPr>
          <w:rFonts w:hint="eastAsia" w:ascii="仿宋" w:hAnsi="仿宋" w:eastAsia="仿宋" w:cs="宋体"/>
          <w:color w:val="auto"/>
          <w:sz w:val="32"/>
          <w:szCs w:val="32"/>
          <w:highlight w:val="none"/>
        </w:rPr>
        <w:t>深入推进清洁能源倍增行动，落实节能目标责任制和节能减排执法责任制，落实能源消费总量控制各项措施，落实高耗能行业差别化政策。加强散煤综合治理，严格执行建成区及工业园区新建燃煤锅炉不小于</w:t>
      </w:r>
      <w:r>
        <w:rPr>
          <w:rFonts w:hint="eastAsia" w:ascii="仿宋" w:hAnsi="仿宋" w:eastAsia="仿宋" w:cs="宋体"/>
          <w:color w:val="auto"/>
          <w:sz w:val="32"/>
          <w:szCs w:val="32"/>
          <w:highlight w:val="none"/>
          <w:lang w:val="en-US" w:eastAsia="zh-CN"/>
        </w:rPr>
        <w:t>35</w:t>
      </w:r>
      <w:r>
        <w:rPr>
          <w:rFonts w:hint="eastAsia" w:ascii="仿宋" w:hAnsi="仿宋" w:eastAsia="仿宋" w:cs="宋体"/>
          <w:color w:val="auto"/>
          <w:sz w:val="32"/>
          <w:szCs w:val="32"/>
          <w:highlight w:val="none"/>
        </w:rPr>
        <w:t>蒸吨/时，推进冬季集中供暖，鼓励天然气消费。推进现有火电机组灵活性改造，提高调峰能力，优先发展背压式热电机组。</w:t>
      </w:r>
    </w:p>
    <w:p>
      <w:pPr>
        <w:pStyle w:val="23"/>
        <w:spacing w:line="600" w:lineRule="exact"/>
        <w:ind w:firstLine="640"/>
        <w:rPr>
          <w:rFonts w:ascii="仿宋" w:hAnsi="仿宋" w:eastAsia="仿宋" w:cs="宋体"/>
          <w:color w:val="auto"/>
          <w:szCs w:val="32"/>
          <w:highlight w:val="none"/>
        </w:rPr>
      </w:pPr>
      <w:r>
        <w:rPr>
          <w:rFonts w:hint="eastAsia" w:ascii="楷体" w:hAnsi="楷体" w:eastAsia="楷体"/>
          <w:color w:val="auto"/>
          <w:szCs w:val="32"/>
          <w:highlight w:val="none"/>
          <w:shd w:val="clear" w:color="auto" w:fill="FFFFFF"/>
        </w:rPr>
        <w:t>2.</w:t>
      </w:r>
      <w:r>
        <w:rPr>
          <w:rFonts w:ascii="楷体" w:hAnsi="楷体" w:eastAsia="楷体"/>
          <w:color w:val="auto"/>
          <w:szCs w:val="32"/>
          <w:highlight w:val="none"/>
          <w:shd w:val="clear" w:color="auto" w:fill="FFFFFF"/>
        </w:rPr>
        <w:t>提升重点领域节能降碳效率</w:t>
      </w:r>
      <w:r>
        <w:rPr>
          <w:rFonts w:hint="eastAsia" w:ascii="楷体" w:hAnsi="楷体" w:eastAsia="楷体"/>
          <w:bCs/>
          <w:color w:val="auto"/>
          <w:szCs w:val="32"/>
          <w:highlight w:val="none"/>
        </w:rPr>
        <w:t>。</w:t>
      </w:r>
      <w:r>
        <w:rPr>
          <w:rFonts w:hint="eastAsia" w:ascii="仿宋" w:hAnsi="仿宋" w:eastAsia="仿宋" w:cs="宋体"/>
          <w:color w:val="auto"/>
          <w:szCs w:val="32"/>
          <w:highlight w:val="none"/>
        </w:rPr>
        <w:t>大力开发、推广节能高效技术和产品，实现重点用能行业、设备节能标准全覆盖。因地制宜提高建筑节能标准，加大绿色建筑推广力度，引导城市新建建筑全面执行绿色建筑标准。推进居住建筑节能改造，鼓励开展农村住房节能改造。强化电力、交通、钢铁、有色金属等高耗能行业能耗监控和节能改造，淘汰落后产能。加快生产过程中碳捕捉技术创新，通过碳的二次利用实现行业低碳化。加快淘汰落后煤电机组，重点淘汰改造后仍不符合能效环保要求的机组。推进抚矿燃煤电厂机组改造，实现转型转产、降本增效，提高市场竞争力。加快燃煤电厂节能改造力度，促进煤电行业转型升级、结构优化，有序防范化解煤电产能过剩风险。</w:t>
      </w:r>
    </w:p>
    <w:p>
      <w:pPr>
        <w:pStyle w:val="23"/>
        <w:spacing w:line="600" w:lineRule="exact"/>
        <w:ind w:firstLine="640"/>
        <w:rPr>
          <w:rFonts w:ascii="仿宋" w:hAnsi="仿宋" w:eastAsia="仿宋" w:cs="宋体"/>
          <w:color w:val="auto"/>
          <w:szCs w:val="32"/>
          <w:highlight w:val="none"/>
        </w:rPr>
      </w:pPr>
      <w:r>
        <w:rPr>
          <w:rFonts w:hint="eastAsia" w:ascii="楷体" w:hAnsi="楷体" w:eastAsia="楷体"/>
          <w:color w:val="auto"/>
          <w:szCs w:val="32"/>
          <w:highlight w:val="none"/>
          <w:shd w:val="clear" w:color="auto" w:fill="FFFFFF"/>
        </w:rPr>
        <w:t>3.</w:t>
      </w:r>
      <w:r>
        <w:rPr>
          <w:rFonts w:ascii="楷体" w:hAnsi="楷体" w:eastAsia="楷体"/>
          <w:color w:val="auto"/>
          <w:szCs w:val="32"/>
          <w:highlight w:val="none"/>
          <w:shd w:val="clear" w:color="auto" w:fill="FFFFFF"/>
        </w:rPr>
        <w:t>加快实施清洁能源替代</w:t>
      </w:r>
      <w:r>
        <w:rPr>
          <w:rFonts w:hint="eastAsia" w:ascii="楷体" w:hAnsi="楷体" w:eastAsia="楷体"/>
          <w:color w:val="auto"/>
          <w:szCs w:val="32"/>
          <w:highlight w:val="none"/>
          <w:shd w:val="clear" w:color="auto" w:fill="FFFFFF"/>
        </w:rPr>
        <w:t>。</w:t>
      </w:r>
      <w:r>
        <w:rPr>
          <w:rFonts w:ascii="仿宋" w:hAnsi="仿宋" w:eastAsia="仿宋"/>
          <w:color w:val="auto"/>
          <w:szCs w:val="32"/>
          <w:highlight w:val="none"/>
          <w:shd w:val="clear" w:color="auto" w:fill="FFFFFF"/>
        </w:rPr>
        <w:t>完善天然气产供储销体系，推进</w:t>
      </w:r>
      <w:r>
        <w:rPr>
          <w:rFonts w:hint="eastAsia" w:ascii="仿宋" w:hAnsi="仿宋" w:eastAsia="仿宋"/>
          <w:color w:val="auto"/>
          <w:szCs w:val="32"/>
          <w:highlight w:val="none"/>
          <w:shd w:val="clear" w:color="auto" w:fill="FFFFFF"/>
        </w:rPr>
        <w:t>抚顺</w:t>
      </w:r>
      <w:r>
        <w:rPr>
          <w:rFonts w:ascii="仿宋" w:hAnsi="仿宋" w:eastAsia="仿宋"/>
          <w:color w:val="auto"/>
          <w:szCs w:val="32"/>
          <w:highlight w:val="none"/>
          <w:shd w:val="clear" w:color="auto" w:fill="FFFFFF"/>
        </w:rPr>
        <w:t>LNG站线扩建项目和省际管网互联互通，</w:t>
      </w:r>
      <w:r>
        <w:rPr>
          <w:rFonts w:hint="eastAsia" w:ascii="仿宋" w:hAnsi="仿宋" w:eastAsia="仿宋"/>
          <w:color w:val="auto"/>
          <w:szCs w:val="32"/>
          <w:highlight w:val="none"/>
          <w:shd w:val="clear" w:color="auto" w:fill="FFFFFF"/>
        </w:rPr>
        <w:t>持续提升</w:t>
      </w:r>
      <w:r>
        <w:rPr>
          <w:rFonts w:ascii="仿宋" w:hAnsi="仿宋" w:eastAsia="仿宋"/>
          <w:color w:val="auto"/>
          <w:szCs w:val="32"/>
          <w:highlight w:val="none"/>
          <w:shd w:val="clear" w:color="auto" w:fill="FFFFFF"/>
        </w:rPr>
        <w:t>天然气消费量占一次能源消费比重。</w:t>
      </w:r>
      <w:r>
        <w:rPr>
          <w:rFonts w:hint="eastAsia" w:ascii="仿宋" w:hAnsi="仿宋" w:eastAsia="仿宋"/>
          <w:color w:val="auto"/>
          <w:szCs w:val="32"/>
          <w:highlight w:val="none"/>
          <w:shd w:val="clear" w:color="auto" w:fill="FFFFFF"/>
        </w:rPr>
        <w:t>加快发展</w:t>
      </w:r>
      <w:r>
        <w:rPr>
          <w:rFonts w:hint="eastAsia" w:ascii="仿宋" w:hAnsi="仿宋" w:eastAsia="仿宋"/>
          <w:color w:val="auto"/>
          <w:szCs w:val="32"/>
          <w:highlight w:val="none"/>
          <w:shd w:val="clear" w:color="auto" w:fill="FFFFFF"/>
          <w:lang w:val="en-US" w:eastAsia="zh-CN"/>
        </w:rPr>
        <w:t>风能、</w:t>
      </w:r>
      <w:r>
        <w:rPr>
          <w:rFonts w:ascii="仿宋" w:hAnsi="仿宋" w:eastAsia="仿宋"/>
          <w:color w:val="auto"/>
          <w:szCs w:val="32"/>
          <w:highlight w:val="none"/>
          <w:shd w:val="clear" w:color="auto" w:fill="FFFFFF"/>
        </w:rPr>
        <w:t>太阳能、</w:t>
      </w:r>
      <w:r>
        <w:rPr>
          <w:rFonts w:hint="eastAsia" w:ascii="仿宋" w:hAnsi="仿宋" w:eastAsia="仿宋"/>
          <w:color w:val="auto"/>
          <w:szCs w:val="32"/>
          <w:highlight w:val="none"/>
          <w:shd w:val="clear" w:color="auto" w:fill="FFFFFF"/>
          <w:lang w:val="en-US" w:eastAsia="zh-CN"/>
        </w:rPr>
        <w:t>水能</w:t>
      </w:r>
      <w:r>
        <w:rPr>
          <w:rFonts w:ascii="仿宋" w:hAnsi="仿宋" w:eastAsia="仿宋"/>
          <w:color w:val="auto"/>
          <w:szCs w:val="32"/>
          <w:highlight w:val="none"/>
          <w:shd w:val="clear" w:color="auto" w:fill="FFFFFF"/>
        </w:rPr>
        <w:t>、</w:t>
      </w:r>
      <w:r>
        <w:rPr>
          <w:rFonts w:hint="eastAsia" w:ascii="仿宋" w:hAnsi="仿宋" w:eastAsia="仿宋"/>
          <w:color w:val="auto"/>
          <w:szCs w:val="32"/>
          <w:highlight w:val="none"/>
          <w:shd w:val="clear" w:color="auto" w:fill="FFFFFF"/>
          <w:lang w:val="en-US" w:eastAsia="zh-CN"/>
        </w:rPr>
        <w:t>生物质能、地热能</w:t>
      </w:r>
      <w:r>
        <w:rPr>
          <w:rFonts w:ascii="仿宋" w:hAnsi="仿宋" w:eastAsia="仿宋"/>
          <w:color w:val="auto"/>
          <w:szCs w:val="32"/>
          <w:highlight w:val="none"/>
          <w:shd w:val="clear" w:color="auto" w:fill="FFFFFF"/>
        </w:rPr>
        <w:t>等非化石能源，完成</w:t>
      </w:r>
      <w:r>
        <w:rPr>
          <w:rFonts w:hint="eastAsia" w:ascii="仿宋" w:hAnsi="仿宋" w:eastAsia="仿宋"/>
          <w:color w:val="auto"/>
          <w:szCs w:val="32"/>
          <w:highlight w:val="none"/>
          <w:shd w:val="clear" w:color="auto" w:fill="FFFFFF"/>
        </w:rPr>
        <w:t>省定</w:t>
      </w:r>
      <w:r>
        <w:rPr>
          <w:rFonts w:ascii="仿宋" w:hAnsi="仿宋" w:eastAsia="仿宋"/>
          <w:color w:val="auto"/>
          <w:szCs w:val="32"/>
          <w:highlight w:val="none"/>
          <w:shd w:val="clear" w:color="auto" w:fill="FFFFFF"/>
        </w:rPr>
        <w:t>非化石能源占一次能源消费比重目标</w:t>
      </w:r>
      <w:r>
        <w:rPr>
          <w:rFonts w:hint="eastAsia" w:ascii="仿宋" w:hAnsi="仿宋" w:eastAsia="仿宋"/>
          <w:color w:val="auto"/>
          <w:szCs w:val="32"/>
          <w:highlight w:val="none"/>
          <w:shd w:val="clear" w:color="auto" w:fill="FFFFFF"/>
          <w:lang w:eastAsia="zh-CN"/>
        </w:rPr>
        <w:t>。</w:t>
      </w:r>
      <w:r>
        <w:rPr>
          <w:rFonts w:ascii="仿宋" w:hAnsi="仿宋" w:eastAsia="仿宋"/>
          <w:color w:val="auto"/>
          <w:szCs w:val="32"/>
          <w:highlight w:val="none"/>
          <w:shd w:val="clear" w:color="auto" w:fill="FFFFFF"/>
        </w:rPr>
        <w:t>加快</w:t>
      </w:r>
      <w:r>
        <w:rPr>
          <w:rFonts w:hint="eastAsia" w:ascii="仿宋" w:hAnsi="仿宋" w:eastAsia="仿宋"/>
          <w:color w:val="auto"/>
          <w:szCs w:val="32"/>
          <w:highlight w:val="none"/>
          <w:shd w:val="clear" w:color="auto" w:fill="FFFFFF"/>
        </w:rPr>
        <w:t>推进清原抽水蓄能电站建设</w:t>
      </w:r>
      <w:r>
        <w:rPr>
          <w:rFonts w:ascii="仿宋" w:hAnsi="仿宋" w:eastAsia="仿宋"/>
          <w:color w:val="auto"/>
          <w:szCs w:val="32"/>
          <w:highlight w:val="none"/>
          <w:shd w:val="clear" w:color="auto" w:fill="FFFFFF"/>
        </w:rPr>
        <w:t>，</w:t>
      </w:r>
      <w:r>
        <w:rPr>
          <w:rFonts w:hint="eastAsia" w:ascii="仿宋" w:hAnsi="仿宋" w:eastAsia="仿宋"/>
          <w:color w:val="auto"/>
          <w:szCs w:val="32"/>
          <w:highlight w:val="none"/>
          <w:shd w:val="clear" w:color="auto" w:fill="FFFFFF"/>
        </w:rPr>
        <w:t>积极探索辽宁绿色经济区（抚顺）</w:t>
      </w:r>
      <w:r>
        <w:rPr>
          <w:rFonts w:ascii="仿宋" w:hAnsi="仿宋" w:eastAsia="仿宋"/>
          <w:color w:val="auto"/>
          <w:szCs w:val="32"/>
          <w:highlight w:val="none"/>
          <w:shd w:val="clear" w:color="auto" w:fill="FFFFFF"/>
        </w:rPr>
        <w:t>风电建设</w:t>
      </w:r>
      <w:r>
        <w:rPr>
          <w:rFonts w:hint="eastAsia" w:ascii="仿宋" w:hAnsi="仿宋" w:eastAsia="仿宋"/>
          <w:color w:val="auto"/>
          <w:szCs w:val="32"/>
          <w:highlight w:val="none"/>
          <w:shd w:val="clear" w:color="auto" w:fill="FFFFFF"/>
        </w:rPr>
        <w:t>。</w:t>
      </w:r>
      <w:r>
        <w:rPr>
          <w:rFonts w:ascii="仿宋" w:hAnsi="仿宋" w:eastAsia="仿宋"/>
          <w:color w:val="auto"/>
          <w:szCs w:val="32"/>
          <w:highlight w:val="none"/>
          <w:shd w:val="clear" w:color="auto" w:fill="FFFFFF"/>
        </w:rPr>
        <w:t>实施“光伏+”专项工程，重点依托工商业建筑、公共建筑屋顶、产业园区等，实施分布式太阳能光伏发电</w:t>
      </w:r>
      <w:r>
        <w:rPr>
          <w:rFonts w:hint="eastAsia" w:ascii="仿宋" w:hAnsi="仿宋" w:eastAsia="仿宋"/>
          <w:color w:val="auto"/>
          <w:szCs w:val="32"/>
          <w:highlight w:val="none"/>
          <w:shd w:val="clear" w:color="auto" w:fill="FFFFFF"/>
        </w:rPr>
        <w:t>。</w:t>
      </w:r>
      <w:r>
        <w:rPr>
          <w:rFonts w:hint="eastAsia" w:ascii="仿宋" w:hAnsi="仿宋" w:eastAsia="仿宋" w:cs="宋体"/>
          <w:color w:val="auto"/>
          <w:szCs w:val="32"/>
          <w:highlight w:val="none"/>
        </w:rPr>
        <w:t>加快发展纯电动汽车，扩大交通燃油替代规模。</w:t>
      </w:r>
      <w:r>
        <w:rPr>
          <w:rFonts w:hint="eastAsia" w:ascii="仿宋" w:hAnsi="仿宋" w:eastAsia="仿宋" w:cs="宋体"/>
          <w:color w:val="auto"/>
          <w:szCs w:val="32"/>
          <w:highlight w:val="none"/>
          <w:lang w:val="en-US" w:eastAsia="zh-CN"/>
        </w:rPr>
        <w:t>积极争取抚顺纳入北方地区清洁取暖政策支持范围，加快推进储能项目落地。</w:t>
      </w:r>
      <w:r>
        <w:rPr>
          <w:rFonts w:hint="eastAsia" w:ascii="仿宋" w:hAnsi="仿宋" w:eastAsia="仿宋" w:cs="宋体"/>
          <w:color w:val="auto"/>
          <w:szCs w:val="32"/>
          <w:highlight w:val="none"/>
        </w:rPr>
        <w:t>持续推进清洁取暖，完善煤改电、煤改气供暖政策，扩大煤改电、煤改气供暖范围，提高城市集中供热比重。</w:t>
      </w:r>
      <w:r>
        <w:rPr>
          <w:rFonts w:hint="eastAsia" w:ascii="仿宋" w:hAnsi="仿宋" w:eastAsia="仿宋" w:cs="宋体"/>
          <w:color w:val="auto"/>
          <w:szCs w:val="32"/>
          <w:highlight w:val="none"/>
          <w:lang w:val="en-US" w:eastAsia="zh-CN"/>
        </w:rPr>
        <w:t>实施散煤替代工程，建成环保工程、民生工程。</w:t>
      </w:r>
      <w:r>
        <w:rPr>
          <w:rFonts w:hint="eastAsia" w:ascii="仿宋" w:hAnsi="仿宋" w:eastAsia="仿宋" w:cs="宋体"/>
          <w:color w:val="auto"/>
          <w:szCs w:val="32"/>
          <w:highlight w:val="none"/>
        </w:rPr>
        <w:t>加快发展技术成熟的生物质成型燃料和生物质气化热电联产项目，推动形成一批生物质清洁供热占优势比重的乡镇区域。到2025年，清洁取暖率</w:t>
      </w:r>
      <w:r>
        <w:rPr>
          <w:rFonts w:hint="eastAsia" w:ascii="仿宋" w:hAnsi="仿宋" w:eastAsia="仿宋" w:cs="宋体"/>
          <w:color w:val="auto"/>
          <w:szCs w:val="32"/>
          <w:highlight w:val="none"/>
          <w:lang w:val="en-US" w:eastAsia="zh-CN"/>
        </w:rPr>
        <w:t>完成省政府下达指标</w:t>
      </w:r>
      <w:r>
        <w:rPr>
          <w:rFonts w:hint="eastAsia" w:ascii="仿宋" w:hAnsi="仿宋" w:eastAsia="仿宋" w:cs="宋体"/>
          <w:color w:val="auto"/>
          <w:szCs w:val="32"/>
          <w:highlight w:val="none"/>
        </w:rPr>
        <w:t>。</w:t>
      </w:r>
    </w:p>
    <w:p>
      <w:pPr>
        <w:pStyle w:val="23"/>
        <w:spacing w:line="600" w:lineRule="exact"/>
        <w:ind w:firstLine="643"/>
        <w:outlineLvl w:val="1"/>
        <w:rPr>
          <w:rFonts w:asciiTheme="minorEastAsia" w:hAnsiTheme="minorEastAsia" w:eastAsiaTheme="minorEastAsia"/>
          <w:b/>
          <w:color w:val="auto"/>
          <w:highlight w:val="none"/>
        </w:rPr>
      </w:pPr>
      <w:bookmarkStart w:id="19" w:name="_Toc14184"/>
      <w:r>
        <w:rPr>
          <w:rFonts w:hint="eastAsia" w:asciiTheme="minorEastAsia" w:hAnsiTheme="minorEastAsia" w:eastAsiaTheme="minorEastAsia"/>
          <w:b/>
          <w:color w:val="auto"/>
          <w:highlight w:val="none"/>
        </w:rPr>
        <w:t>（</w:t>
      </w:r>
      <w:r>
        <w:rPr>
          <w:rFonts w:hint="eastAsia" w:asciiTheme="minorEastAsia" w:hAnsiTheme="minorEastAsia" w:eastAsiaTheme="minorEastAsia"/>
          <w:b/>
          <w:color w:val="auto"/>
          <w:highlight w:val="none"/>
          <w:lang w:val="en-US" w:eastAsia="zh-CN"/>
        </w:rPr>
        <w:t>四</w:t>
      </w:r>
      <w:r>
        <w:rPr>
          <w:rFonts w:hint="eastAsia" w:asciiTheme="minorEastAsia" w:hAnsiTheme="minorEastAsia" w:eastAsiaTheme="minorEastAsia"/>
          <w:b/>
          <w:color w:val="auto"/>
          <w:highlight w:val="none"/>
        </w:rPr>
        <w:t>）大力发展低碳循环经济</w:t>
      </w:r>
      <w:bookmarkEnd w:id="19"/>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rPr>
        <w:t>1.推动开发区</w:t>
      </w:r>
      <w:r>
        <w:rPr>
          <w:rFonts w:hint="eastAsia" w:ascii="宋体" w:hAnsi="宋体" w:eastAsia="宋体"/>
          <w:bCs/>
          <w:color w:val="auto"/>
          <w:szCs w:val="32"/>
          <w:highlight w:val="none"/>
        </w:rPr>
        <w:t>（</w:t>
      </w:r>
      <w:r>
        <w:rPr>
          <w:rFonts w:hint="eastAsia" w:ascii="楷体" w:hAnsi="楷体" w:eastAsia="楷体"/>
          <w:bCs/>
          <w:color w:val="auto"/>
          <w:szCs w:val="32"/>
          <w:highlight w:val="none"/>
        </w:rPr>
        <w:t>园区</w:t>
      </w:r>
      <w:r>
        <w:rPr>
          <w:rFonts w:hint="eastAsia" w:ascii="宋体" w:hAnsi="宋体" w:eastAsia="宋体"/>
          <w:bCs/>
          <w:color w:val="auto"/>
          <w:szCs w:val="32"/>
          <w:highlight w:val="none"/>
        </w:rPr>
        <w:t>）</w:t>
      </w:r>
      <w:r>
        <w:rPr>
          <w:rFonts w:hint="eastAsia" w:ascii="楷体" w:hAnsi="楷体" w:eastAsia="楷体"/>
          <w:bCs/>
          <w:color w:val="auto"/>
          <w:szCs w:val="32"/>
          <w:highlight w:val="none"/>
        </w:rPr>
        <w:t>低碳循环化改造。</w:t>
      </w:r>
      <w:r>
        <w:rPr>
          <w:rFonts w:hint="eastAsia" w:ascii="仿宋" w:hAnsi="仿宋" w:eastAsia="仿宋"/>
          <w:color w:val="auto"/>
          <w:szCs w:val="32"/>
          <w:highlight w:val="none"/>
        </w:rPr>
        <w:t>按照空间布局合理化、产业结构最优化、产业链接循环化、资源利用高效化、</w:t>
      </w:r>
      <w:r>
        <w:rPr>
          <w:rFonts w:hint="eastAsia" w:ascii="仿宋" w:hAnsi="仿宋" w:eastAsia="仿宋" w:cs="宋体"/>
          <w:color w:val="auto"/>
          <w:szCs w:val="32"/>
          <w:highlight w:val="none"/>
          <w:lang w:val="zh-TW"/>
        </w:rPr>
        <w:t>污染治理集中化、基础设施绿色化、运行管理规范化的要求，加快推进</w:t>
      </w:r>
      <w:r>
        <w:rPr>
          <w:rFonts w:hint="eastAsia" w:ascii="仿宋" w:hAnsi="仿宋" w:eastAsia="仿宋"/>
          <w:color w:val="auto"/>
          <w:szCs w:val="32"/>
          <w:highlight w:val="none"/>
        </w:rPr>
        <w:t>抚顺高新技术产业开发区</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rPr>
        <w:t>抚顺胜利经济开发区</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rPr>
        <w:t>抚顺望花经济开发区</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rPr>
        <w:t>抚顺顺城经济开发区</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rPr>
        <w:t>清原县产业园区</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rPr>
        <w:t>新宾县产业园区</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rPr>
        <w:t>抚顺县产业园区</w:t>
      </w:r>
      <w:r>
        <w:rPr>
          <w:rFonts w:hint="eastAsia" w:ascii="仿宋" w:hAnsi="仿宋" w:eastAsia="仿宋" w:cs="宋体"/>
          <w:color w:val="auto"/>
          <w:szCs w:val="32"/>
          <w:highlight w:val="none"/>
          <w:lang w:val="zh-CN"/>
        </w:rPr>
        <w:t>等</w:t>
      </w:r>
      <w:r>
        <w:rPr>
          <w:rFonts w:hint="eastAsia" w:ascii="仿宋" w:hAnsi="仿宋" w:eastAsia="仿宋"/>
          <w:color w:val="auto"/>
          <w:szCs w:val="32"/>
          <w:highlight w:val="none"/>
        </w:rPr>
        <w:t>低碳循环化改造升级工程</w:t>
      </w:r>
      <w:r>
        <w:rPr>
          <w:rFonts w:hint="eastAsia" w:ascii="仿宋" w:hAnsi="仿宋" w:eastAsia="仿宋" w:cs="宋体"/>
          <w:color w:val="auto"/>
          <w:szCs w:val="32"/>
          <w:highlight w:val="none"/>
          <w:lang w:val="zh-CN"/>
        </w:rPr>
        <w:t>建设，</w:t>
      </w:r>
      <w:r>
        <w:rPr>
          <w:rFonts w:hint="eastAsia" w:ascii="仿宋" w:hAnsi="仿宋" w:eastAsia="仿宋"/>
          <w:color w:val="auto"/>
          <w:szCs w:val="32"/>
          <w:highlight w:val="none"/>
        </w:rPr>
        <w:t>实施“一园一策”“一行一策”，制定综合整治方案。加强政府对各类开发区（园区）低碳循环化改造升级的指导，定期开展效果评估和工作考核工作，鼓励低碳循环化技术创新与应用，培育壮大低碳循环产业集群。力争2025年低碳循环化改造取得实质性进展。</w:t>
      </w:r>
    </w:p>
    <w:p>
      <w:pPr>
        <w:pStyle w:val="23"/>
        <w:spacing w:line="600" w:lineRule="exact"/>
        <w:ind w:firstLine="643"/>
        <w:outlineLvl w:val="1"/>
        <w:rPr>
          <w:rFonts w:cs="宋体" w:asciiTheme="minorEastAsia" w:hAnsiTheme="minorEastAsia" w:eastAsiaTheme="minorEastAsia"/>
          <w:b/>
          <w:color w:val="auto"/>
          <w:szCs w:val="32"/>
          <w:highlight w:val="none"/>
        </w:rPr>
      </w:pPr>
      <w:bookmarkStart w:id="20" w:name="_Toc28709"/>
      <w:r>
        <w:rPr>
          <w:rFonts w:hint="eastAsia" w:cs="宋体" w:asciiTheme="minorEastAsia" w:hAnsiTheme="minorEastAsia" w:eastAsiaTheme="minorEastAsia"/>
          <w:b/>
          <w:color w:val="auto"/>
          <w:szCs w:val="32"/>
          <w:highlight w:val="none"/>
        </w:rPr>
        <w:t>（</w:t>
      </w:r>
      <w:r>
        <w:rPr>
          <w:rFonts w:hint="eastAsia" w:cs="宋体" w:asciiTheme="minorEastAsia" w:hAnsiTheme="minorEastAsia" w:eastAsiaTheme="minorEastAsia"/>
          <w:b/>
          <w:color w:val="auto"/>
          <w:szCs w:val="32"/>
          <w:highlight w:val="none"/>
          <w:lang w:val="en-US" w:eastAsia="zh-CN"/>
        </w:rPr>
        <w:t>五</w:t>
      </w:r>
      <w:r>
        <w:rPr>
          <w:rFonts w:hint="eastAsia" w:cs="宋体" w:asciiTheme="minorEastAsia" w:hAnsiTheme="minorEastAsia" w:eastAsiaTheme="minorEastAsia"/>
          <w:b/>
          <w:color w:val="auto"/>
          <w:szCs w:val="32"/>
          <w:highlight w:val="none"/>
        </w:rPr>
        <w:t>）</w:t>
      </w:r>
      <w:r>
        <w:rPr>
          <w:rFonts w:cs="宋体" w:asciiTheme="minorEastAsia" w:hAnsiTheme="minorEastAsia" w:eastAsiaTheme="minorEastAsia"/>
          <w:b/>
          <w:color w:val="auto"/>
          <w:szCs w:val="32"/>
          <w:highlight w:val="none"/>
        </w:rPr>
        <w:t>践行绿色低碳简约生活</w:t>
      </w:r>
      <w:bookmarkEnd w:id="20"/>
    </w:p>
    <w:p>
      <w:pPr>
        <w:pStyle w:val="23"/>
        <w:spacing w:line="600" w:lineRule="exact"/>
        <w:ind w:firstLine="640"/>
        <w:rPr>
          <w:rFonts w:ascii="仿宋" w:hAnsi="仿宋" w:eastAsia="仿宋" w:cs="宋体"/>
          <w:color w:val="auto"/>
          <w:szCs w:val="32"/>
          <w:highlight w:val="none"/>
        </w:rPr>
      </w:pPr>
      <w:r>
        <w:rPr>
          <w:rFonts w:hint="eastAsia" w:ascii="楷体" w:hAnsi="楷体" w:eastAsia="楷体" w:cs="宋体"/>
          <w:color w:val="auto"/>
          <w:szCs w:val="32"/>
          <w:highlight w:val="none"/>
        </w:rPr>
        <w:t>1.</w:t>
      </w:r>
      <w:r>
        <w:rPr>
          <w:rFonts w:hint="eastAsia" w:ascii="楷体" w:hAnsi="楷体" w:eastAsia="楷体"/>
          <w:color w:val="auto"/>
          <w:highlight w:val="none"/>
        </w:rPr>
        <w:t>推进低碳建筑发展</w:t>
      </w:r>
      <w:r>
        <w:rPr>
          <w:rFonts w:hint="eastAsia" w:ascii="仿宋" w:hAnsi="仿宋" w:eastAsia="仿宋" w:cs="宋体"/>
          <w:color w:val="auto"/>
          <w:szCs w:val="32"/>
          <w:highlight w:val="none"/>
          <w:lang w:val="zh-CN"/>
        </w:rPr>
        <w:t>。</w:t>
      </w:r>
      <w:r>
        <w:rPr>
          <w:rFonts w:hint="eastAsia" w:ascii="仿宋" w:hAnsi="仿宋" w:eastAsia="仿宋" w:cs="宋体"/>
          <w:color w:val="auto"/>
          <w:szCs w:val="32"/>
          <w:highlight w:val="none"/>
        </w:rPr>
        <w:t>实施绿色建筑全产业链发展计划，推行绿色施工方式,推广节能绿色建筑、装配式和钢结构建筑发展。制定配套政策支持装配式建筑发展，力争装配式建筑占新建建筑比例争取达到</w:t>
      </w:r>
      <w:r>
        <w:rPr>
          <w:rFonts w:hint="eastAsia" w:ascii="仿宋" w:hAnsi="仿宋" w:eastAsia="仿宋" w:cs="宋体"/>
          <w:color w:val="auto"/>
          <w:szCs w:val="32"/>
          <w:highlight w:val="none"/>
          <w:lang w:val="en-US" w:eastAsia="zh-CN"/>
        </w:rPr>
        <w:t>15</w:t>
      </w:r>
      <w:r>
        <w:rPr>
          <w:rFonts w:hint="eastAsia" w:ascii="仿宋" w:hAnsi="仿宋" w:eastAsia="仿宋" w:cs="宋体"/>
          <w:color w:val="auto"/>
          <w:szCs w:val="32"/>
          <w:highlight w:val="none"/>
        </w:rPr>
        <w:t>%。推进超低能耗建筑和近零能耗建筑发展，探索全面推进太阳能热水、土壤源热泵、空气源热泵等低碳技术在建筑领域的应用。推广节能绿色建材的使用，倡导节能环保理念，促进绿色建材的推广。严格执行建筑节能标准，加大建筑能效测评标识制度推行力度，完善星级绿色建筑标识制度，推动绿色建筑发展。</w:t>
      </w:r>
    </w:p>
    <w:p>
      <w:pPr>
        <w:pStyle w:val="23"/>
        <w:spacing w:line="600" w:lineRule="exact"/>
        <w:ind w:firstLine="640"/>
        <w:rPr>
          <w:rFonts w:ascii="仿宋" w:hAnsi="仿宋" w:eastAsia="仿宋" w:cs="宋体"/>
          <w:color w:val="auto"/>
          <w:szCs w:val="32"/>
          <w:highlight w:val="none"/>
        </w:rPr>
      </w:pPr>
      <w:r>
        <w:rPr>
          <w:rFonts w:hint="eastAsia" w:ascii="楷体" w:hAnsi="楷体" w:eastAsia="楷体" w:cs="宋体"/>
          <w:bCs/>
          <w:color w:val="auto"/>
          <w:szCs w:val="32"/>
          <w:highlight w:val="none"/>
        </w:rPr>
        <w:t>2.构建绿色交通体系。</w:t>
      </w:r>
      <w:r>
        <w:rPr>
          <w:rFonts w:hint="eastAsia" w:ascii="仿宋" w:hAnsi="仿宋" w:eastAsia="仿宋" w:cs="宋体"/>
          <w:color w:val="auto"/>
          <w:szCs w:val="32"/>
          <w:highlight w:val="none"/>
        </w:rPr>
        <w:t>加快构建绿色交通体系，大力发展城市公共交通，优化交通运输结构，推动交通运输节能，发展低碳便捷的交通体系，推广节能和新能源车辆，加快充电基础设施建设，</w:t>
      </w:r>
      <w:r>
        <w:rPr>
          <w:rFonts w:hint="eastAsia" w:ascii="仿宋" w:hAnsi="仿宋" w:eastAsia="仿宋" w:cs="宋体"/>
          <w:color w:val="auto"/>
          <w:szCs w:val="32"/>
          <w:highlight w:val="none"/>
          <w:lang w:val="en-US" w:eastAsia="zh-CN"/>
        </w:rPr>
        <w:t>推动</w:t>
      </w:r>
      <w:r>
        <w:rPr>
          <w:rFonts w:hint="eastAsia" w:ascii="仿宋" w:hAnsi="仿宋" w:eastAsia="仿宋" w:cs="宋体"/>
          <w:color w:val="auto"/>
          <w:szCs w:val="32"/>
          <w:highlight w:val="none"/>
        </w:rPr>
        <w:t>各县区的公交、环卫、邮政、出租、通勤、轻型物流配送车辆使用新能源或清洁能源汽车，加快提升油品标准水平，推进逐步执行国Ⅵ汽、柴油标准。</w:t>
      </w:r>
    </w:p>
    <w:p>
      <w:pPr>
        <w:pStyle w:val="23"/>
        <w:spacing w:line="600" w:lineRule="exact"/>
        <w:ind w:firstLine="640"/>
        <w:rPr>
          <w:rFonts w:ascii="仿宋" w:hAnsi="仿宋" w:eastAsia="仿宋" w:cs="宋体"/>
          <w:color w:val="auto"/>
          <w:szCs w:val="32"/>
          <w:highlight w:val="none"/>
          <w:lang w:val="zh-CN"/>
        </w:rPr>
      </w:pPr>
      <w:r>
        <w:rPr>
          <w:rFonts w:hint="eastAsia" w:ascii="楷体" w:hAnsi="楷体" w:eastAsia="楷体" w:cs="宋体"/>
          <w:bCs/>
          <w:color w:val="auto"/>
          <w:szCs w:val="32"/>
          <w:highlight w:val="none"/>
        </w:rPr>
        <w:t>3.</w:t>
      </w:r>
      <w:r>
        <w:rPr>
          <w:rFonts w:hint="eastAsia" w:ascii="楷体" w:hAnsi="楷体" w:eastAsia="楷体" w:cs="宋体"/>
          <w:bCs/>
          <w:color w:val="auto"/>
          <w:szCs w:val="32"/>
          <w:highlight w:val="none"/>
          <w:lang w:val="zh-CN"/>
        </w:rPr>
        <w:t>倡导</w:t>
      </w:r>
      <w:r>
        <w:rPr>
          <w:rFonts w:hint="eastAsia" w:ascii="楷体" w:hAnsi="楷体" w:eastAsia="楷体" w:cs="宋体"/>
          <w:bCs/>
          <w:color w:val="auto"/>
          <w:szCs w:val="32"/>
          <w:highlight w:val="none"/>
        </w:rPr>
        <w:t>绿色生活和消费。</w:t>
      </w:r>
      <w:r>
        <w:rPr>
          <w:rFonts w:hint="eastAsia" w:ascii="仿宋" w:hAnsi="仿宋" w:eastAsia="仿宋" w:cs="宋体"/>
          <w:color w:val="auto"/>
          <w:szCs w:val="32"/>
          <w:highlight w:val="none"/>
        </w:rPr>
        <w:t>加强绿色文化建设，强化生态文明和生态环境保护宣传教育。深入开展“</w:t>
      </w:r>
      <w:r>
        <w:rPr>
          <w:rFonts w:hint="eastAsia" w:ascii="仿宋" w:hAnsi="仿宋" w:eastAsia="仿宋" w:cs="宋体"/>
          <w:color w:val="auto"/>
          <w:szCs w:val="32"/>
          <w:highlight w:val="none"/>
          <w:lang w:val="en-US" w:eastAsia="zh-CN"/>
        </w:rPr>
        <w:t>美丽抚顺</w:t>
      </w:r>
      <w:r>
        <w:rPr>
          <w:rFonts w:hint="eastAsia" w:ascii="仿宋" w:hAnsi="仿宋" w:eastAsia="仿宋" w:cs="宋体"/>
          <w:color w:val="auto"/>
          <w:szCs w:val="32"/>
          <w:highlight w:val="none"/>
        </w:rPr>
        <w:t>”主题系列活动，推进生态环境教育公共设施建设。推行绿色交通优先，积极引导消费者购买节能或新能源汽车，鼓励市民选择步行、自行车、公共交通等绿色出行方式。开展绿色学校、绿色社区、绿色商场、绿色餐馆等创建提倡绿色居住，节约用水用电，合理控制夏季空调和冬季取暖室内温度。开展“光盘”行动，切实培养节约习惯。</w:t>
      </w:r>
    </w:p>
    <w:p>
      <w:pPr>
        <w:pStyle w:val="23"/>
        <w:spacing w:line="600" w:lineRule="exact"/>
        <w:ind w:firstLine="640"/>
        <w:rPr>
          <w:rFonts w:ascii="仿宋" w:hAnsi="仿宋" w:eastAsia="仿宋" w:cs="宋体"/>
          <w:color w:val="auto"/>
          <w:szCs w:val="32"/>
          <w:highlight w:val="none"/>
        </w:rPr>
      </w:pPr>
      <w:r>
        <w:rPr>
          <w:rFonts w:hint="eastAsia" w:ascii="楷体" w:hAnsi="楷体" w:eastAsia="楷体" w:cs="宋体"/>
          <w:bCs/>
          <w:color w:val="auto"/>
          <w:szCs w:val="32"/>
          <w:highlight w:val="none"/>
          <w:lang w:val="en-US" w:eastAsia="zh-CN"/>
        </w:rPr>
        <w:t>4</w:t>
      </w:r>
      <w:r>
        <w:rPr>
          <w:rFonts w:hint="eastAsia" w:ascii="楷体" w:hAnsi="楷体" w:eastAsia="楷体" w:cs="宋体"/>
          <w:bCs/>
          <w:color w:val="auto"/>
          <w:szCs w:val="32"/>
          <w:highlight w:val="none"/>
        </w:rPr>
        <w:t>.开展“创绿”行动。</w:t>
      </w:r>
      <w:r>
        <w:rPr>
          <w:rFonts w:hint="eastAsia" w:ascii="仿宋" w:hAnsi="仿宋" w:eastAsia="仿宋" w:cs="宋体"/>
          <w:color w:val="auto"/>
          <w:szCs w:val="32"/>
          <w:highlight w:val="none"/>
        </w:rPr>
        <w:t>发挥绿色生活典型示范作用，推行政府绿色行政，推动公务用车节能，推进公文无纸化传输，提高政府采购中可循环使用的产品再生产品及节能、节水、无污染的绿色产品比例。大力发展低碳旅游事业，重点发展生态旅游、绿色旅游产业。</w:t>
      </w:r>
    </w:p>
    <w:p>
      <w:pPr>
        <w:pStyle w:val="23"/>
        <w:spacing w:line="600" w:lineRule="exact"/>
        <w:ind w:firstLine="640"/>
        <w:rPr>
          <w:rFonts w:ascii="仿宋" w:hAnsi="仿宋" w:eastAsia="仿宋" w:cs="宋体"/>
          <w:color w:val="auto"/>
          <w:szCs w:val="32"/>
          <w:highlight w:val="none"/>
        </w:rPr>
      </w:pPr>
      <w:r>
        <w:rPr>
          <w:rFonts w:hint="eastAsia" w:ascii="楷体" w:hAnsi="楷体" w:eastAsia="楷体" w:cs="宋体"/>
          <w:bCs/>
          <w:color w:val="auto"/>
          <w:szCs w:val="32"/>
          <w:highlight w:val="none"/>
          <w:lang w:val="en-US" w:eastAsia="zh-CN"/>
        </w:rPr>
        <w:t>5</w:t>
      </w:r>
      <w:r>
        <w:rPr>
          <w:rFonts w:hint="eastAsia" w:ascii="楷体" w:hAnsi="楷体" w:eastAsia="楷体" w:cs="宋体"/>
          <w:bCs/>
          <w:color w:val="auto"/>
          <w:szCs w:val="32"/>
          <w:highlight w:val="none"/>
        </w:rPr>
        <w:t>.健全绿色标识认证体系。</w:t>
      </w:r>
      <w:r>
        <w:rPr>
          <w:rFonts w:hint="eastAsia" w:ascii="仿宋" w:hAnsi="仿宋" w:eastAsia="仿宋" w:cs="宋体"/>
          <w:color w:val="auto"/>
          <w:szCs w:val="32"/>
          <w:highlight w:val="none"/>
        </w:rPr>
        <w:t>强化能效标识管理制度，扩大实施范围，推行节能低碳环保产品认证。完善绿色建筑、绿色建材标识和认证制度，建立可追溯的绿色建材评价和信息管理系统。推进能源管理体系认证，制修订绿色商场、绿色宾馆、绿色饭店、绿色景区等绿色服务评价办法，积极开展第三方认证评价。将环保、节能、节水、循环、低碳、再生、有机等产品统一整合为绿色产品，建立统一的绿色产品标准、认证、标识体系。加强节能低碳环保标识监督检查，依法查处虚标企业。</w:t>
      </w:r>
    </w:p>
    <w:p>
      <w:pPr>
        <w:pStyle w:val="23"/>
        <w:spacing w:line="800" w:lineRule="exact"/>
        <w:ind w:firstLine="643"/>
        <w:outlineLvl w:val="0"/>
        <w:rPr>
          <w:rFonts w:cs="宋体" w:asciiTheme="minorEastAsia" w:hAnsiTheme="minorEastAsia" w:eastAsiaTheme="minorEastAsia"/>
          <w:b/>
          <w:color w:val="auto"/>
          <w:szCs w:val="32"/>
          <w:highlight w:val="none"/>
        </w:rPr>
      </w:pPr>
      <w:bookmarkStart w:id="21" w:name="_Toc9473"/>
      <w:r>
        <w:rPr>
          <w:rFonts w:hint="eastAsia" w:cs="仿宋" w:asciiTheme="minorEastAsia" w:hAnsiTheme="minorEastAsia" w:eastAsiaTheme="minorEastAsia"/>
          <w:b/>
          <w:color w:val="auto"/>
          <w:szCs w:val="32"/>
          <w:highlight w:val="none"/>
          <w:lang w:val="en-US" w:eastAsia="zh-CN"/>
        </w:rPr>
        <w:t>四</w:t>
      </w:r>
      <w:r>
        <w:rPr>
          <w:rFonts w:hint="eastAsia" w:cs="仿宋" w:asciiTheme="minorEastAsia" w:hAnsiTheme="minorEastAsia" w:eastAsiaTheme="minorEastAsia"/>
          <w:b/>
          <w:color w:val="auto"/>
          <w:szCs w:val="32"/>
          <w:highlight w:val="none"/>
        </w:rPr>
        <w:t>、</w:t>
      </w:r>
      <w:r>
        <w:rPr>
          <w:rFonts w:asciiTheme="minorEastAsia" w:hAnsiTheme="minorEastAsia" w:eastAsiaTheme="minorEastAsia"/>
          <w:b/>
          <w:color w:val="auto"/>
          <w:szCs w:val="32"/>
          <w:highlight w:val="none"/>
          <w:shd w:val="clear" w:color="auto" w:fill="FFFFFF"/>
        </w:rPr>
        <w:t>深入打好污染防治攻坚战，持续改善生态环境质量</w:t>
      </w:r>
      <w:bookmarkEnd w:id="21"/>
    </w:p>
    <w:p>
      <w:pPr>
        <w:spacing w:line="600" w:lineRule="exact"/>
        <w:ind w:firstLine="640" w:firstLineChars="200"/>
        <w:rPr>
          <w:rFonts w:ascii="仿宋" w:hAnsi="仿宋" w:eastAsia="仿宋" w:cs="楷体"/>
          <w:color w:val="auto"/>
          <w:sz w:val="32"/>
          <w:szCs w:val="32"/>
          <w:highlight w:val="none"/>
        </w:rPr>
      </w:pPr>
      <w:r>
        <w:rPr>
          <w:rFonts w:hint="eastAsia" w:ascii="仿宋" w:hAnsi="仿宋" w:eastAsia="仿宋" w:cs="楷体"/>
          <w:color w:val="auto"/>
          <w:sz w:val="32"/>
          <w:szCs w:val="32"/>
          <w:highlight w:val="none"/>
        </w:rPr>
        <w:t>“十四五”期间，在稳定巩固污染防治攻坚战阶段性成果基础上，围绕“提气、降碳、强生态，</w:t>
      </w:r>
      <w:r>
        <w:rPr>
          <w:rFonts w:hint="eastAsia" w:ascii="仿宋" w:hAnsi="仿宋" w:eastAsia="仿宋" w:cs="楷体"/>
          <w:color w:val="auto"/>
          <w:sz w:val="32"/>
          <w:szCs w:val="32"/>
          <w:highlight w:val="none"/>
          <w:lang w:val="en-US" w:eastAsia="zh-CN"/>
        </w:rPr>
        <w:t>固</w:t>
      </w:r>
      <w:r>
        <w:rPr>
          <w:rFonts w:hint="eastAsia" w:ascii="仿宋" w:hAnsi="仿宋" w:eastAsia="仿宋" w:cs="楷体"/>
          <w:color w:val="auto"/>
          <w:sz w:val="32"/>
          <w:szCs w:val="32"/>
          <w:highlight w:val="none"/>
        </w:rPr>
        <w:t>水、</w:t>
      </w:r>
      <w:r>
        <w:rPr>
          <w:rFonts w:hint="eastAsia" w:ascii="仿宋" w:hAnsi="仿宋" w:eastAsia="仿宋" w:cs="楷体"/>
          <w:color w:val="auto"/>
          <w:sz w:val="32"/>
          <w:szCs w:val="32"/>
          <w:highlight w:val="none"/>
          <w:lang w:val="en-US" w:eastAsia="zh-CN"/>
        </w:rPr>
        <w:t>治</w:t>
      </w:r>
      <w:r>
        <w:rPr>
          <w:rFonts w:hint="eastAsia" w:ascii="仿宋" w:hAnsi="仿宋" w:eastAsia="仿宋" w:cs="楷体"/>
          <w:color w:val="auto"/>
          <w:sz w:val="32"/>
          <w:szCs w:val="32"/>
          <w:highlight w:val="none"/>
        </w:rPr>
        <w:t>土、防风险”，突出精准、科学、依法治污，统筹推进经济社会发展，积极应对气候变化，实施抚顺和沈抚改革创新示范区大气污染联防联控，</w:t>
      </w:r>
      <w:r>
        <w:rPr>
          <w:rFonts w:hint="eastAsia" w:ascii="仿宋" w:hAnsi="仿宋" w:eastAsia="仿宋" w:cs="楷体"/>
          <w:color w:val="auto"/>
          <w:sz w:val="32"/>
          <w:szCs w:val="32"/>
          <w:highlight w:val="none"/>
          <w:lang w:val="en-US" w:eastAsia="zh-CN"/>
        </w:rPr>
        <w:t>污染协同治理，</w:t>
      </w:r>
      <w:r>
        <w:rPr>
          <w:rFonts w:hint="eastAsia" w:ascii="仿宋" w:hAnsi="仿宋" w:eastAsia="仿宋" w:cs="楷体"/>
          <w:color w:val="auto"/>
          <w:sz w:val="32"/>
          <w:szCs w:val="32"/>
          <w:highlight w:val="none"/>
        </w:rPr>
        <w:t>深入打好污染防治攻坚战，实现减污降碳协同效应，持续改善生态环境质量。</w:t>
      </w:r>
    </w:p>
    <w:p>
      <w:pPr>
        <w:spacing w:line="600" w:lineRule="exact"/>
        <w:ind w:firstLine="642" w:firstLineChars="200"/>
        <w:outlineLvl w:val="1"/>
        <w:rPr>
          <w:rFonts w:cs="楷体" w:asciiTheme="minorEastAsia" w:hAnsiTheme="minorEastAsia"/>
          <w:b/>
          <w:color w:val="auto"/>
          <w:sz w:val="32"/>
          <w:szCs w:val="32"/>
          <w:highlight w:val="none"/>
        </w:rPr>
      </w:pPr>
      <w:bookmarkStart w:id="22" w:name="_Toc28004"/>
      <w:r>
        <w:rPr>
          <w:rFonts w:hint="eastAsia" w:cs="楷体" w:asciiTheme="minorEastAsia" w:hAnsiTheme="minorEastAsia"/>
          <w:b/>
          <w:color w:val="auto"/>
          <w:sz w:val="32"/>
          <w:szCs w:val="32"/>
          <w:highlight w:val="none"/>
        </w:rPr>
        <w:t>（一）</w:t>
      </w:r>
      <w:r>
        <w:rPr>
          <w:rFonts w:cs="楷体" w:asciiTheme="minorEastAsia" w:hAnsiTheme="minorEastAsia"/>
          <w:b/>
          <w:color w:val="auto"/>
          <w:sz w:val="32"/>
          <w:szCs w:val="32"/>
          <w:highlight w:val="none"/>
        </w:rPr>
        <w:t>提升大气环境质量</w:t>
      </w:r>
      <w:bookmarkEnd w:id="22"/>
    </w:p>
    <w:p>
      <w:pPr>
        <w:spacing w:line="600" w:lineRule="exact"/>
        <w:ind w:firstLine="640" w:firstLineChars="200"/>
        <w:rPr>
          <w:rFonts w:ascii="楷体" w:hAnsi="楷体" w:eastAsia="楷体" w:cs="楷体"/>
          <w:b/>
          <w:color w:val="auto"/>
          <w:sz w:val="32"/>
          <w:szCs w:val="32"/>
          <w:highlight w:val="none"/>
        </w:rPr>
      </w:pPr>
      <w:r>
        <w:rPr>
          <w:rFonts w:hint="eastAsia" w:ascii="仿宋" w:hAnsi="仿宋" w:eastAsia="仿宋"/>
          <w:color w:val="auto"/>
          <w:sz w:val="32"/>
          <w:szCs w:val="32"/>
          <w:highlight w:val="none"/>
        </w:rPr>
        <w:t>坚持</w:t>
      </w:r>
      <w:r>
        <w:rPr>
          <w:rFonts w:ascii="仿宋" w:hAnsi="仿宋" w:eastAsia="仿宋"/>
          <w:color w:val="auto"/>
          <w:sz w:val="32"/>
          <w:szCs w:val="32"/>
          <w:highlight w:val="none"/>
        </w:rPr>
        <w:t>PM</w:t>
      </w:r>
      <w:r>
        <w:rPr>
          <w:rFonts w:ascii="仿宋" w:hAnsi="仿宋" w:eastAsia="仿宋"/>
          <w:color w:val="auto"/>
          <w:sz w:val="32"/>
          <w:szCs w:val="32"/>
          <w:highlight w:val="none"/>
          <w:vertAlign w:val="subscript"/>
        </w:rPr>
        <w:t>2.5</w:t>
      </w:r>
      <w:r>
        <w:rPr>
          <w:rFonts w:hint="eastAsia" w:ascii="仿宋" w:hAnsi="仿宋" w:eastAsia="仿宋"/>
          <w:color w:val="auto"/>
          <w:sz w:val="32"/>
          <w:szCs w:val="32"/>
          <w:highlight w:val="none"/>
        </w:rPr>
        <w:t>和</w:t>
      </w:r>
      <w:r>
        <w:rPr>
          <w:rFonts w:ascii="仿宋" w:hAnsi="仿宋" w:eastAsia="仿宋"/>
          <w:color w:val="auto"/>
          <w:sz w:val="32"/>
          <w:szCs w:val="32"/>
          <w:highlight w:val="none"/>
        </w:rPr>
        <w:t>O</w:t>
      </w:r>
      <w:r>
        <w:rPr>
          <w:rFonts w:ascii="仿宋" w:hAnsi="仿宋" w:eastAsia="仿宋"/>
          <w:color w:val="auto"/>
          <w:sz w:val="32"/>
          <w:szCs w:val="32"/>
          <w:highlight w:val="none"/>
          <w:vertAlign w:val="subscript"/>
        </w:rPr>
        <w:t>3</w:t>
      </w:r>
      <w:r>
        <w:rPr>
          <w:rFonts w:hint="eastAsia" w:ascii="仿宋" w:hAnsi="仿宋" w:eastAsia="仿宋"/>
          <w:color w:val="auto"/>
          <w:sz w:val="32"/>
          <w:szCs w:val="32"/>
          <w:highlight w:val="none"/>
        </w:rPr>
        <w:t>污染治理相协同、温室气体和大气污染物排放控制相协同、本地治污和区域共治相协同，以深入打好污染防治攻坚战为主线，以区域环境空气质量达标为目标，以控煤、治企、控车、控尘、治</w:t>
      </w:r>
      <w:r>
        <w:rPr>
          <w:rFonts w:ascii="仿宋" w:hAnsi="仿宋" w:eastAsia="仿宋"/>
          <w:color w:val="auto"/>
          <w:sz w:val="32"/>
          <w:szCs w:val="32"/>
          <w:highlight w:val="none"/>
        </w:rPr>
        <w:t>VOCs</w:t>
      </w:r>
      <w:r>
        <w:rPr>
          <w:rFonts w:hint="eastAsia" w:ascii="仿宋" w:hAnsi="仿宋" w:eastAsia="仿宋"/>
          <w:color w:val="auto"/>
          <w:sz w:val="32"/>
          <w:szCs w:val="32"/>
          <w:highlight w:val="none"/>
        </w:rPr>
        <w:t>、控秸秆焚烧为抓手，综合施策，多措并举，努力实现碳排放强度和</w:t>
      </w:r>
      <w:r>
        <w:rPr>
          <w:rFonts w:ascii="仿宋" w:hAnsi="仿宋" w:eastAsia="仿宋"/>
          <w:color w:val="auto"/>
          <w:sz w:val="32"/>
          <w:szCs w:val="32"/>
          <w:highlight w:val="none"/>
        </w:rPr>
        <w:t>PM</w:t>
      </w:r>
      <w:r>
        <w:rPr>
          <w:rFonts w:ascii="仿宋" w:hAnsi="仿宋" w:eastAsia="仿宋"/>
          <w:color w:val="auto"/>
          <w:sz w:val="32"/>
          <w:szCs w:val="32"/>
          <w:highlight w:val="none"/>
          <w:vertAlign w:val="subscript"/>
        </w:rPr>
        <w:t>2.5</w:t>
      </w:r>
      <w:r>
        <w:rPr>
          <w:rFonts w:hint="eastAsia" w:ascii="仿宋" w:hAnsi="仿宋" w:eastAsia="仿宋"/>
          <w:color w:val="auto"/>
          <w:sz w:val="32"/>
          <w:szCs w:val="32"/>
          <w:highlight w:val="none"/>
        </w:rPr>
        <w:t>浓度“双下降”</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确保环境空气质量持续提升。</w:t>
      </w:r>
    </w:p>
    <w:p>
      <w:pPr>
        <w:pStyle w:val="23"/>
        <w:spacing w:line="600" w:lineRule="exact"/>
        <w:ind w:firstLine="640"/>
        <w:rPr>
          <w:rFonts w:ascii="仿宋" w:hAnsi="仿宋" w:eastAsia="仿宋"/>
          <w:color w:val="auto"/>
          <w:szCs w:val="32"/>
          <w:highlight w:val="none"/>
          <w:lang w:val="zh-TW" w:eastAsia="zh-TW"/>
        </w:rPr>
      </w:pPr>
      <w:r>
        <w:rPr>
          <w:rFonts w:hint="eastAsia" w:ascii="楷体" w:hAnsi="楷体" w:eastAsia="楷体"/>
          <w:bCs/>
          <w:color w:val="auto"/>
          <w:szCs w:val="32"/>
          <w:highlight w:val="none"/>
        </w:rPr>
        <w:t>1.强化</w:t>
      </w:r>
      <w:r>
        <w:rPr>
          <w:rFonts w:hint="eastAsia" w:ascii="楷体" w:hAnsi="楷体" w:eastAsia="楷体"/>
          <w:bCs/>
          <w:color w:val="auto"/>
          <w:szCs w:val="32"/>
          <w:highlight w:val="none"/>
          <w:lang w:val="zh-TW" w:eastAsia="zh-TW"/>
        </w:rPr>
        <w:t>环境空气质量管</w:t>
      </w:r>
      <w:r>
        <w:rPr>
          <w:rFonts w:hint="eastAsia" w:ascii="楷体" w:hAnsi="楷体" w:eastAsia="楷体"/>
          <w:bCs/>
          <w:color w:val="auto"/>
          <w:szCs w:val="32"/>
          <w:highlight w:val="none"/>
        </w:rPr>
        <w:t>控。</w:t>
      </w:r>
      <w:r>
        <w:rPr>
          <w:rFonts w:hint="eastAsia" w:ascii="仿宋" w:hAnsi="仿宋" w:eastAsia="仿宋"/>
          <w:color w:val="auto"/>
          <w:szCs w:val="32"/>
          <w:highlight w:val="none"/>
          <w:lang w:val="zh-TW" w:eastAsia="zh-TW"/>
        </w:rPr>
        <w:t>落实城市政府大气污染防治主体责任，推进城市大气环境管理的精细化和科学化。制定并实施</w:t>
      </w:r>
      <w:r>
        <w:rPr>
          <w:rFonts w:hint="eastAsia" w:ascii="仿宋" w:hAnsi="仿宋" w:eastAsia="仿宋"/>
          <w:color w:val="auto"/>
          <w:szCs w:val="32"/>
          <w:highlight w:val="none"/>
        </w:rPr>
        <w:t>抚顺</w:t>
      </w:r>
      <w:r>
        <w:rPr>
          <w:rFonts w:hint="eastAsia" w:ascii="仿宋" w:hAnsi="仿宋" w:eastAsia="仿宋"/>
          <w:color w:val="auto"/>
          <w:szCs w:val="32"/>
          <w:highlight w:val="none"/>
          <w:lang w:val="zh-TW" w:eastAsia="zh-TW"/>
        </w:rPr>
        <w:t>市空气质量达标规划，提出达标期限，明确空气质量达标路线图及污染防治重点任务，并向社会公开。强化大气污染物总量控制与空气质量改善的衔接，重点加强防治臭氧和颗粒物污染协同控制，促进空气质量改善</w:t>
      </w:r>
      <w:r>
        <w:rPr>
          <w:rFonts w:hint="eastAsia" w:ascii="仿宋" w:hAnsi="仿宋" w:eastAsia="仿宋"/>
          <w:color w:val="auto"/>
          <w:szCs w:val="32"/>
          <w:highlight w:val="none"/>
          <w:lang w:val="zh-TW"/>
        </w:rPr>
        <w:t>。</w:t>
      </w:r>
      <w:r>
        <w:rPr>
          <w:rFonts w:hint="eastAsia" w:ascii="仿宋" w:hAnsi="仿宋" w:eastAsia="仿宋"/>
          <w:color w:val="auto"/>
          <w:szCs w:val="32"/>
          <w:highlight w:val="none"/>
          <w:lang w:val="zh-TW" w:eastAsia="zh-TW"/>
        </w:rPr>
        <w:t>加大空气质量公开力度，实时发布空气质量信息</w:t>
      </w:r>
      <w:r>
        <w:rPr>
          <w:rFonts w:hint="eastAsia" w:ascii="仿宋" w:hAnsi="仿宋" w:eastAsia="仿宋"/>
          <w:color w:val="auto"/>
          <w:szCs w:val="32"/>
          <w:highlight w:val="none"/>
          <w:lang w:val="zh-TW"/>
        </w:rPr>
        <w:t>。开展空气质量预测、预报，落实污染控制对策，完善城市大气环境闭环管理流程。</w:t>
      </w:r>
      <w:r>
        <w:rPr>
          <w:rFonts w:hint="eastAsia" w:ascii="仿宋" w:hAnsi="仿宋" w:eastAsia="仿宋"/>
          <w:color w:val="auto"/>
          <w:szCs w:val="32"/>
          <w:highlight w:val="none"/>
          <w:lang w:val="zh-TW" w:eastAsia="zh-TW"/>
        </w:rPr>
        <w:t>完成</w:t>
      </w:r>
      <w:r>
        <w:rPr>
          <w:rFonts w:hint="eastAsia" w:ascii="仿宋" w:hAnsi="仿宋" w:eastAsia="仿宋"/>
          <w:color w:val="auto"/>
          <w:szCs w:val="32"/>
          <w:highlight w:val="none"/>
        </w:rPr>
        <w:t>省厅指定的</w:t>
      </w:r>
      <w:r>
        <w:rPr>
          <w:rFonts w:hint="eastAsia" w:ascii="仿宋" w:hAnsi="仿宋" w:eastAsia="仿宋"/>
          <w:color w:val="auto"/>
          <w:szCs w:val="32"/>
          <w:highlight w:val="none"/>
          <w:lang w:val="zh-TW" w:eastAsia="zh-TW"/>
        </w:rPr>
        <w:t>碳减排</w:t>
      </w:r>
      <w:r>
        <w:rPr>
          <w:rFonts w:hint="eastAsia" w:ascii="仿宋" w:hAnsi="仿宋" w:eastAsia="仿宋"/>
          <w:color w:val="auto"/>
          <w:szCs w:val="32"/>
          <w:highlight w:val="none"/>
        </w:rPr>
        <w:t>新</w:t>
      </w:r>
      <w:r>
        <w:rPr>
          <w:rFonts w:hint="eastAsia" w:ascii="仿宋" w:hAnsi="仿宋" w:eastAsia="仿宋"/>
          <w:color w:val="auto"/>
          <w:szCs w:val="32"/>
          <w:highlight w:val="none"/>
          <w:lang w:val="zh-TW" w:eastAsia="zh-TW"/>
        </w:rPr>
        <w:t>指标差异化分解，确定减排任务清单，</w:t>
      </w:r>
      <w:r>
        <w:rPr>
          <w:rFonts w:hint="eastAsia" w:ascii="仿宋" w:hAnsi="仿宋" w:eastAsia="仿宋"/>
          <w:color w:val="auto"/>
          <w:szCs w:val="32"/>
          <w:highlight w:val="none"/>
          <w:lang w:val="zh-TW"/>
        </w:rPr>
        <w:t>推进</w:t>
      </w:r>
      <w:r>
        <w:rPr>
          <w:rFonts w:hint="eastAsia" w:ascii="仿宋" w:hAnsi="仿宋" w:eastAsia="仿宋"/>
          <w:color w:val="auto"/>
          <w:szCs w:val="32"/>
          <w:highlight w:val="none"/>
          <w:lang w:val="zh-TW" w:eastAsia="zh-TW"/>
        </w:rPr>
        <w:t>碳排放达峰目标</w:t>
      </w:r>
      <w:r>
        <w:rPr>
          <w:rFonts w:hint="eastAsia" w:ascii="仿宋" w:hAnsi="仿宋" w:eastAsia="仿宋"/>
          <w:color w:val="auto"/>
          <w:szCs w:val="32"/>
          <w:highlight w:val="none"/>
          <w:lang w:val="zh-TW"/>
        </w:rPr>
        <w:t>早日</w:t>
      </w:r>
      <w:r>
        <w:rPr>
          <w:rFonts w:hint="eastAsia" w:ascii="仿宋" w:hAnsi="仿宋" w:eastAsia="仿宋"/>
          <w:color w:val="auto"/>
          <w:szCs w:val="32"/>
          <w:highlight w:val="none"/>
          <w:lang w:val="zh-TW" w:eastAsia="zh-TW"/>
        </w:rPr>
        <w:t>实现。</w:t>
      </w:r>
    </w:p>
    <w:p>
      <w:pPr>
        <w:spacing w:line="600" w:lineRule="exact"/>
        <w:ind w:firstLine="640" w:firstLineChars="200"/>
        <w:rPr>
          <w:rFonts w:ascii="仿宋" w:hAnsi="仿宋" w:eastAsia="仿宋"/>
          <w:color w:val="auto"/>
          <w:sz w:val="32"/>
          <w:szCs w:val="32"/>
          <w:highlight w:val="none"/>
        </w:rPr>
      </w:pPr>
      <w:r>
        <w:rPr>
          <w:rFonts w:hint="eastAsia" w:ascii="楷体" w:hAnsi="楷体" w:eastAsia="楷体"/>
          <w:bCs/>
          <w:color w:val="auto"/>
          <w:sz w:val="32"/>
          <w:szCs w:val="32"/>
          <w:highlight w:val="none"/>
        </w:rPr>
        <w:t>2.加强重污染天气应对。</w:t>
      </w:r>
      <w:r>
        <w:rPr>
          <w:rFonts w:hint="eastAsia" w:ascii="仿宋" w:hAnsi="仿宋" w:eastAsia="仿宋"/>
          <w:color w:val="auto"/>
          <w:sz w:val="32"/>
          <w:szCs w:val="32"/>
          <w:highlight w:val="none"/>
        </w:rPr>
        <w:t>严格落实市、区(县)、企业重污染天气应急预案，强化市级预案与企业预案衔接。完善细颗粒物和臭氧重污染天气预警应急的启动、响应解除机制。定期修订抚顺市重污染天气应急预案，按年度更新重污染应急减排清单。统筹评估重污染天气应急响应实施效果，逐步完善重污染天气应对区域协作机制。推进全市空气质量监测预报预警体系建设。实施“一厂一策”清单化管理，细化应急减排措施。重污染期间，钢铁、水泥、有色、化工等涉及大宗原材料及产品运输的重点企业实施错峰运输。重点区域采暖季节，钢铁、水泥重点行业企业实施错峰生产。</w:t>
      </w:r>
    </w:p>
    <w:p>
      <w:pPr>
        <w:spacing w:line="600" w:lineRule="exact"/>
        <w:ind w:firstLine="640" w:firstLineChars="200"/>
        <w:rPr>
          <w:rFonts w:hint="default" w:ascii="仿宋" w:hAnsi="仿宋" w:eastAsia="仿宋"/>
          <w:color w:val="auto"/>
          <w:sz w:val="32"/>
          <w:szCs w:val="32"/>
          <w:highlight w:val="none"/>
          <w:lang w:val="en-US" w:eastAsia="zh-CN"/>
        </w:rPr>
      </w:pPr>
      <w:r>
        <w:rPr>
          <w:rFonts w:hint="eastAsia" w:ascii="楷体" w:hAnsi="楷体" w:eastAsia="楷体"/>
          <w:bCs/>
          <w:color w:val="auto"/>
          <w:sz w:val="32"/>
          <w:szCs w:val="32"/>
          <w:highlight w:val="none"/>
        </w:rPr>
        <w:t>3.协同开展</w:t>
      </w:r>
      <w:r>
        <w:rPr>
          <w:rFonts w:ascii="楷体" w:hAnsi="楷体" w:eastAsia="楷体"/>
          <w:bCs/>
          <w:color w:val="auto"/>
          <w:sz w:val="32"/>
          <w:szCs w:val="32"/>
          <w:highlight w:val="none"/>
        </w:rPr>
        <w:t>PM</w:t>
      </w:r>
      <w:r>
        <w:rPr>
          <w:rFonts w:ascii="楷体" w:hAnsi="楷体" w:eastAsia="楷体"/>
          <w:bCs/>
          <w:color w:val="auto"/>
          <w:sz w:val="32"/>
          <w:szCs w:val="32"/>
          <w:highlight w:val="none"/>
          <w:vertAlign w:val="subscript"/>
        </w:rPr>
        <w:t>2.5</w:t>
      </w:r>
      <w:r>
        <w:rPr>
          <w:rFonts w:hint="eastAsia" w:ascii="楷体" w:hAnsi="楷体" w:eastAsia="楷体"/>
          <w:bCs/>
          <w:color w:val="auto"/>
          <w:sz w:val="32"/>
          <w:szCs w:val="32"/>
          <w:highlight w:val="none"/>
        </w:rPr>
        <w:t>和</w:t>
      </w:r>
      <w:r>
        <w:rPr>
          <w:rFonts w:ascii="楷体" w:hAnsi="楷体" w:eastAsia="楷体"/>
          <w:bCs/>
          <w:color w:val="auto"/>
          <w:sz w:val="32"/>
          <w:szCs w:val="32"/>
          <w:highlight w:val="none"/>
        </w:rPr>
        <w:t>O</w:t>
      </w:r>
      <w:r>
        <w:rPr>
          <w:rFonts w:ascii="楷体" w:hAnsi="楷体" w:eastAsia="楷体"/>
          <w:bCs/>
          <w:color w:val="auto"/>
          <w:sz w:val="32"/>
          <w:szCs w:val="32"/>
          <w:highlight w:val="none"/>
          <w:vertAlign w:val="subscript"/>
        </w:rPr>
        <w:t>3</w:t>
      </w:r>
      <w:r>
        <w:rPr>
          <w:rFonts w:hint="eastAsia" w:ascii="楷体" w:hAnsi="楷体" w:eastAsia="楷体"/>
          <w:bCs/>
          <w:color w:val="auto"/>
          <w:sz w:val="32"/>
          <w:szCs w:val="32"/>
          <w:highlight w:val="none"/>
        </w:rPr>
        <w:t>污染防治。</w:t>
      </w:r>
      <w:r>
        <w:rPr>
          <w:rFonts w:hint="eastAsia" w:ascii="仿宋" w:hAnsi="仿宋" w:eastAsia="仿宋"/>
          <w:color w:val="auto"/>
          <w:sz w:val="32"/>
          <w:szCs w:val="32"/>
          <w:highlight w:val="none"/>
        </w:rPr>
        <w:t>全面落实持续改善空气质量行动计划，推动市区</w:t>
      </w:r>
      <w:r>
        <w:rPr>
          <w:rFonts w:ascii="仿宋" w:hAnsi="仿宋" w:eastAsia="仿宋"/>
          <w:color w:val="auto"/>
          <w:sz w:val="32"/>
          <w:szCs w:val="32"/>
          <w:highlight w:val="none"/>
        </w:rPr>
        <w:t>PM</w:t>
      </w:r>
      <w:r>
        <w:rPr>
          <w:rFonts w:ascii="仿宋" w:hAnsi="仿宋" w:eastAsia="仿宋"/>
          <w:color w:val="auto"/>
          <w:sz w:val="32"/>
          <w:szCs w:val="32"/>
          <w:highlight w:val="none"/>
          <w:vertAlign w:val="subscript"/>
        </w:rPr>
        <w:t>2.5</w:t>
      </w:r>
      <w:r>
        <w:rPr>
          <w:rFonts w:hint="eastAsia" w:ascii="仿宋" w:hAnsi="仿宋" w:eastAsia="仿宋"/>
          <w:color w:val="auto"/>
          <w:sz w:val="32"/>
          <w:szCs w:val="32"/>
          <w:highlight w:val="none"/>
        </w:rPr>
        <w:t>浓度持续下降，有效遏制</w:t>
      </w:r>
      <w:r>
        <w:rPr>
          <w:rFonts w:ascii="仿宋" w:hAnsi="仿宋" w:eastAsia="仿宋"/>
          <w:color w:val="auto"/>
          <w:sz w:val="32"/>
          <w:szCs w:val="32"/>
          <w:highlight w:val="none"/>
        </w:rPr>
        <w:t>O</w:t>
      </w:r>
      <w:r>
        <w:rPr>
          <w:rFonts w:ascii="仿宋" w:hAnsi="仿宋" w:eastAsia="仿宋"/>
          <w:color w:val="auto"/>
          <w:sz w:val="32"/>
          <w:szCs w:val="32"/>
          <w:highlight w:val="none"/>
          <w:vertAlign w:val="subscript"/>
        </w:rPr>
        <w:t>3</w:t>
      </w:r>
      <w:r>
        <w:rPr>
          <w:rFonts w:hint="eastAsia" w:ascii="仿宋" w:hAnsi="仿宋" w:eastAsia="仿宋"/>
          <w:color w:val="auto"/>
          <w:sz w:val="32"/>
          <w:szCs w:val="32"/>
          <w:highlight w:val="none"/>
        </w:rPr>
        <w:t>浓度增长趋势。统筹考虑</w:t>
      </w:r>
      <w:r>
        <w:rPr>
          <w:rFonts w:ascii="仿宋" w:hAnsi="仿宋" w:eastAsia="仿宋"/>
          <w:color w:val="auto"/>
          <w:sz w:val="32"/>
          <w:szCs w:val="32"/>
          <w:highlight w:val="none"/>
        </w:rPr>
        <w:t>PM</w:t>
      </w:r>
      <w:r>
        <w:rPr>
          <w:rFonts w:ascii="仿宋" w:hAnsi="仿宋" w:eastAsia="仿宋"/>
          <w:color w:val="auto"/>
          <w:sz w:val="32"/>
          <w:szCs w:val="32"/>
          <w:highlight w:val="none"/>
          <w:vertAlign w:val="subscript"/>
        </w:rPr>
        <w:t>2.5</w:t>
      </w:r>
      <w:r>
        <w:rPr>
          <w:rFonts w:hint="eastAsia" w:ascii="仿宋" w:hAnsi="仿宋" w:eastAsia="仿宋"/>
          <w:color w:val="auto"/>
          <w:sz w:val="32"/>
          <w:szCs w:val="32"/>
          <w:highlight w:val="none"/>
        </w:rPr>
        <w:t>和</w:t>
      </w:r>
      <w:r>
        <w:rPr>
          <w:rFonts w:ascii="仿宋" w:hAnsi="仿宋" w:eastAsia="仿宋"/>
          <w:color w:val="auto"/>
          <w:sz w:val="32"/>
          <w:szCs w:val="32"/>
          <w:highlight w:val="none"/>
        </w:rPr>
        <w:t>O</w:t>
      </w:r>
      <w:r>
        <w:rPr>
          <w:rFonts w:ascii="仿宋" w:hAnsi="仿宋" w:eastAsia="仿宋"/>
          <w:color w:val="auto"/>
          <w:sz w:val="32"/>
          <w:szCs w:val="32"/>
          <w:highlight w:val="none"/>
          <w:vertAlign w:val="subscript"/>
        </w:rPr>
        <w:t>3</w:t>
      </w:r>
      <w:r>
        <w:rPr>
          <w:rFonts w:hint="eastAsia" w:ascii="仿宋" w:hAnsi="仿宋" w:eastAsia="仿宋"/>
          <w:color w:val="auto"/>
          <w:sz w:val="32"/>
          <w:szCs w:val="32"/>
          <w:highlight w:val="none"/>
        </w:rPr>
        <w:t>污染区域传输规律和季节性特征，加强重点区域、重点时段、重点领域、重点行业治理，强化分区分时分类差异化精细化协同管控。</w:t>
      </w:r>
      <w:r>
        <w:rPr>
          <w:rFonts w:hint="eastAsia" w:ascii="仿宋" w:hAnsi="仿宋" w:eastAsia="仿宋"/>
          <w:color w:val="auto"/>
          <w:sz w:val="32"/>
          <w:szCs w:val="32"/>
          <w:highlight w:val="none"/>
          <w:lang w:val="en-US" w:eastAsia="zh-CN"/>
        </w:rPr>
        <w:t>在夏季以石化、化工、工业涂装等行业为主，加强氮氧化物、挥发性有机物（VOCs）等PM</w:t>
      </w:r>
      <w:r>
        <w:rPr>
          <w:rFonts w:hint="eastAsia" w:ascii="仿宋" w:hAnsi="仿宋" w:eastAsia="仿宋"/>
          <w:color w:val="auto"/>
          <w:sz w:val="32"/>
          <w:szCs w:val="32"/>
          <w:highlight w:val="none"/>
          <w:vertAlign w:val="subscript"/>
          <w:lang w:val="en-US" w:eastAsia="zh-CN"/>
        </w:rPr>
        <w:t>2.5</w:t>
      </w:r>
      <w:r>
        <w:rPr>
          <w:rFonts w:hint="eastAsia" w:ascii="仿宋" w:hAnsi="仿宋" w:eastAsia="仿宋"/>
          <w:color w:val="auto"/>
          <w:sz w:val="32"/>
          <w:szCs w:val="32"/>
          <w:highlight w:val="none"/>
          <w:lang w:val="en-US" w:eastAsia="zh-CN"/>
        </w:rPr>
        <w:t>和臭氧前体物排放监管；在秋冬季以移动源、燃煤源污染管控为主，强化不利扩散条件下颗粒物、氮氧化物、二氧化硫、氨排放监管。</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楷体" w:hAnsi="楷体" w:eastAsia="楷体"/>
          <w:bCs/>
          <w:color w:val="auto"/>
          <w:sz w:val="32"/>
          <w:szCs w:val="32"/>
          <w:highlight w:val="none"/>
        </w:rPr>
        <w:t>4.深化燃煤锅炉减排。</w:t>
      </w:r>
      <w:r>
        <w:rPr>
          <w:rFonts w:hint="eastAsia" w:ascii="仿宋" w:hAnsi="仿宋" w:eastAsia="仿宋"/>
          <w:color w:val="auto"/>
          <w:sz w:val="32"/>
          <w:szCs w:val="32"/>
          <w:highlight w:val="none"/>
        </w:rPr>
        <w:t>加大锅炉监管力度，推进燃煤锅炉的治理和替代，保证锅炉环保设施稳定运行，扩大供热管网面积，力争实现城区热源全覆盖。实施燃煤锅炉超低排放改造</w:t>
      </w:r>
      <w:r>
        <w:rPr>
          <w:rFonts w:hint="eastAsia" w:ascii="仿宋" w:hAnsi="仿宋" w:eastAsia="仿宋"/>
          <w:color w:val="auto"/>
          <w:sz w:val="32"/>
          <w:szCs w:val="32"/>
          <w:highlight w:val="none"/>
          <w:lang w:val="en-US" w:eastAsia="zh-CN"/>
        </w:rPr>
        <w:t>工作</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推动城区、清原县、新宾县现有达不到超低排放标准的燃煤锅炉进行</w:t>
      </w:r>
      <w:r>
        <w:rPr>
          <w:rFonts w:hint="eastAsia" w:ascii="仿宋" w:hAnsi="仿宋" w:eastAsia="仿宋"/>
          <w:color w:val="auto"/>
          <w:sz w:val="32"/>
          <w:szCs w:val="32"/>
          <w:highlight w:val="none"/>
        </w:rPr>
        <w:t>超低排放改造</w:t>
      </w:r>
      <w:r>
        <w:rPr>
          <w:rFonts w:hint="eastAsia" w:ascii="仿宋" w:hAnsi="仿宋" w:eastAsia="仿宋"/>
          <w:color w:val="auto"/>
          <w:sz w:val="32"/>
          <w:szCs w:val="32"/>
          <w:highlight w:val="none"/>
          <w:lang w:eastAsia="zh-CN"/>
        </w:rPr>
        <w:t>。</w:t>
      </w:r>
    </w:p>
    <w:p>
      <w:pPr>
        <w:spacing w:line="600" w:lineRule="exact"/>
        <w:ind w:firstLine="640" w:firstLineChars="200"/>
        <w:rPr>
          <w:rFonts w:hint="eastAsia" w:ascii="仿宋" w:hAnsi="仿宋" w:eastAsia="仿宋"/>
          <w:color w:val="auto"/>
          <w:sz w:val="32"/>
          <w:szCs w:val="32"/>
          <w:highlight w:val="none"/>
        </w:rPr>
      </w:pPr>
      <w:r>
        <w:rPr>
          <w:rFonts w:hint="eastAsia" w:ascii="楷体" w:hAnsi="楷体" w:eastAsia="楷体"/>
          <w:bCs/>
          <w:color w:val="auto"/>
          <w:sz w:val="32"/>
          <w:szCs w:val="32"/>
          <w:highlight w:val="none"/>
        </w:rPr>
        <w:t>5.全面推进清洁能源采暖。</w:t>
      </w:r>
      <w:r>
        <w:rPr>
          <w:rFonts w:hint="eastAsia" w:ascii="仿宋" w:hAnsi="仿宋" w:eastAsia="仿宋"/>
          <w:color w:val="auto"/>
          <w:sz w:val="32"/>
          <w:szCs w:val="32"/>
          <w:highlight w:val="none"/>
        </w:rPr>
        <w:t>坚持宜电则电、宜气则气、宜煤则煤、宜热则热原则，结合具体特征分别实施电能替代、天然气替代、集中供热替代、新能源替代。加强供热热源和配套管网建设。加快天然气产供销体系和储气设施建设，基本实现新增“煤改气”“煤改</w:t>
      </w:r>
      <w:r>
        <w:rPr>
          <w:rFonts w:hint="eastAsia" w:ascii="仿宋" w:hAnsi="仿宋" w:eastAsia="仿宋"/>
          <w:color w:val="auto"/>
          <w:sz w:val="32"/>
          <w:szCs w:val="32"/>
          <w:highlight w:val="none"/>
          <w:lang w:val="en-US" w:eastAsia="zh-CN"/>
        </w:rPr>
        <w:t>电</w:t>
      </w:r>
      <w:r>
        <w:rPr>
          <w:rFonts w:hint="eastAsia" w:ascii="仿宋" w:hAnsi="仿宋" w:eastAsia="仿宋"/>
          <w:color w:val="auto"/>
          <w:sz w:val="32"/>
          <w:szCs w:val="32"/>
          <w:highlight w:val="none"/>
        </w:rPr>
        <w:t>”工程具备气源保障能力。</w:t>
      </w:r>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楷体" w:hAnsi="楷体" w:eastAsia="楷体"/>
          <w:bCs/>
          <w:color w:val="auto"/>
          <w:sz w:val="32"/>
          <w:szCs w:val="32"/>
          <w:highlight w:val="none"/>
        </w:rPr>
        <w:t>6.</w:t>
      </w:r>
      <w:r>
        <w:rPr>
          <w:rFonts w:hint="eastAsia" w:ascii="楷体" w:hAnsi="楷体" w:eastAsia="楷体"/>
          <w:bCs/>
          <w:color w:val="auto"/>
          <w:sz w:val="32"/>
          <w:szCs w:val="32"/>
          <w:highlight w:val="none"/>
          <w:lang w:val="en-US" w:eastAsia="zh-CN"/>
        </w:rPr>
        <w:t>实施重点行业NO</w:t>
      </w:r>
      <w:r>
        <w:rPr>
          <w:rFonts w:hint="eastAsia" w:ascii="楷体" w:hAnsi="楷体" w:eastAsia="楷体"/>
          <w:bCs/>
          <w:color w:val="auto"/>
          <w:sz w:val="32"/>
          <w:szCs w:val="32"/>
          <w:highlight w:val="none"/>
          <w:vertAlign w:val="subscript"/>
          <w:lang w:val="en-US" w:eastAsia="zh-CN"/>
        </w:rPr>
        <w:t>X</w:t>
      </w:r>
      <w:r>
        <w:rPr>
          <w:rFonts w:hint="eastAsia" w:ascii="楷体" w:hAnsi="楷体" w:eastAsia="楷体"/>
          <w:bCs/>
          <w:color w:val="auto"/>
          <w:sz w:val="32"/>
          <w:szCs w:val="32"/>
          <w:highlight w:val="none"/>
          <w:lang w:val="en-US" w:eastAsia="zh-CN"/>
        </w:rPr>
        <w:t>等污染物深度治理</w:t>
      </w:r>
      <w:r>
        <w:rPr>
          <w:rFonts w:hint="eastAsia" w:ascii="楷体" w:hAnsi="楷体" w:eastAsia="楷体"/>
          <w:bCs/>
          <w:color w:val="auto"/>
          <w:sz w:val="32"/>
          <w:szCs w:val="32"/>
          <w:highlight w:val="none"/>
        </w:rPr>
        <w:t>。</w:t>
      </w:r>
      <w:r>
        <w:rPr>
          <w:rFonts w:hint="eastAsia" w:ascii="仿宋" w:hAnsi="仿宋" w:eastAsia="仿宋"/>
          <w:color w:val="auto"/>
          <w:sz w:val="32"/>
          <w:szCs w:val="32"/>
          <w:highlight w:val="none"/>
          <w:lang w:val="en-US" w:eastAsia="zh-CN"/>
        </w:rPr>
        <w:t>以钢铁、石化、建材、有色金属冶炼、铸造等行业为重点，淘汰一批、替代一批、治理一批，分类推动工业炉窑全面实现污染物达标排放，鼓励工业炉窑使用电、天然气等清洁能源。持续推进工业污染源全面达标排放。持续开展产业集群排查及分类管理。全面加强无组织排放管控、严格控制铸造、钢铁、焦化、水泥、砖瓦、石灰、耐火材料、有色金属冶炼等行业物料储存、输送及生产工艺过程无组织排放。推动执行燃煤锅炉大气污染物特别排放限值。加大超标处罚和联合整治力度。</w:t>
      </w:r>
    </w:p>
    <w:p>
      <w:pPr>
        <w:spacing w:line="600" w:lineRule="exact"/>
        <w:ind w:firstLine="640" w:firstLineChars="200"/>
        <w:rPr>
          <w:rFonts w:ascii="仿宋" w:hAnsi="仿宋" w:eastAsia="仿宋"/>
          <w:color w:val="auto"/>
          <w:sz w:val="32"/>
          <w:szCs w:val="32"/>
          <w:highlight w:val="none"/>
        </w:rPr>
      </w:pPr>
      <w:r>
        <w:rPr>
          <w:rFonts w:hint="eastAsia" w:ascii="楷体" w:hAnsi="楷体" w:eastAsia="楷体"/>
          <w:bCs/>
          <w:color w:val="auto"/>
          <w:sz w:val="32"/>
          <w:szCs w:val="32"/>
          <w:highlight w:val="none"/>
          <w:lang w:val="en-US" w:eastAsia="zh-CN"/>
        </w:rPr>
        <w:t>7</w:t>
      </w:r>
      <w:r>
        <w:rPr>
          <w:rFonts w:hint="eastAsia" w:ascii="楷体" w:hAnsi="楷体" w:eastAsia="楷体"/>
          <w:bCs/>
          <w:color w:val="auto"/>
          <w:sz w:val="32"/>
          <w:szCs w:val="32"/>
          <w:highlight w:val="none"/>
        </w:rPr>
        <w:t>.深化工业企业废气污染综合治理。</w:t>
      </w:r>
      <w:r>
        <w:rPr>
          <w:rFonts w:hint="eastAsia" w:ascii="仿宋" w:hAnsi="仿宋" w:eastAsia="仿宋"/>
          <w:color w:val="auto"/>
          <w:sz w:val="32"/>
          <w:szCs w:val="32"/>
          <w:highlight w:val="none"/>
          <w:lang w:val="zh-TW" w:eastAsia="zh-TW"/>
        </w:rPr>
        <w:t>推动实施</w:t>
      </w:r>
      <w:r>
        <w:rPr>
          <w:rFonts w:hint="eastAsia" w:ascii="仿宋" w:hAnsi="仿宋" w:eastAsia="仿宋"/>
          <w:color w:val="auto"/>
          <w:sz w:val="32"/>
          <w:szCs w:val="32"/>
          <w:highlight w:val="none"/>
        </w:rPr>
        <w:t>钢铁行业超低排放改造，对重点行业和企业的污染源进行深度治理，变无组织排放为有组织排放，变达标排放为超低排放。</w:t>
      </w:r>
      <w:r>
        <w:rPr>
          <w:rFonts w:hint="eastAsia" w:ascii="仿宋" w:hAnsi="仿宋" w:eastAsia="仿宋"/>
          <w:color w:val="auto"/>
          <w:sz w:val="32"/>
          <w:szCs w:val="32"/>
          <w:highlight w:val="none"/>
          <w:lang w:val="zh-TW" w:eastAsia="zh-TW"/>
        </w:rPr>
        <w:t>持续推进工业污染源全面达标排放，加大超标处罚和联合惩戒力度</w:t>
      </w:r>
      <w:r>
        <w:rPr>
          <w:rFonts w:hint="eastAsia" w:ascii="仿宋" w:hAnsi="仿宋" w:eastAsia="仿宋"/>
          <w:color w:val="auto"/>
          <w:sz w:val="32"/>
          <w:szCs w:val="32"/>
          <w:highlight w:val="none"/>
          <w:lang w:val="zh-TW"/>
        </w:rPr>
        <w:t>。</w:t>
      </w:r>
      <w:r>
        <w:rPr>
          <w:rFonts w:hint="eastAsia" w:ascii="仿宋" w:hAnsi="仿宋" w:eastAsia="仿宋"/>
          <w:color w:val="auto"/>
          <w:sz w:val="32"/>
          <w:szCs w:val="32"/>
          <w:highlight w:val="none"/>
        </w:rPr>
        <w:t>采用先进适用的技术、工艺和装备，</w:t>
      </w:r>
      <w:r>
        <w:rPr>
          <w:rFonts w:hint="eastAsia" w:ascii="仿宋" w:hAnsi="仿宋" w:eastAsia="仿宋"/>
          <w:color w:val="auto"/>
          <w:sz w:val="32"/>
          <w:szCs w:val="32"/>
          <w:highlight w:val="none"/>
          <w:lang w:val="en-US" w:eastAsia="zh-CN"/>
        </w:rPr>
        <w:t>实施</w:t>
      </w:r>
      <w:r>
        <w:rPr>
          <w:rFonts w:hint="eastAsia" w:ascii="仿宋" w:hAnsi="仿宋" w:eastAsia="仿宋"/>
          <w:color w:val="auto"/>
          <w:sz w:val="32"/>
          <w:szCs w:val="32"/>
          <w:highlight w:val="none"/>
        </w:rPr>
        <w:t>企业清洁生产技术改造。</w:t>
      </w:r>
    </w:p>
    <w:p>
      <w:pPr>
        <w:pStyle w:val="23"/>
        <w:spacing w:line="600" w:lineRule="exact"/>
        <w:ind w:firstLine="640"/>
        <w:rPr>
          <w:rFonts w:ascii="仿宋" w:hAnsi="仿宋" w:eastAsia="仿宋"/>
          <w:color w:val="auto"/>
          <w:szCs w:val="32"/>
          <w:highlight w:val="none"/>
        </w:rPr>
      </w:pPr>
      <w:r>
        <w:rPr>
          <w:rFonts w:hint="eastAsia" w:ascii="楷体" w:hAnsi="楷体" w:eastAsia="楷体" w:cs="仿宋"/>
          <w:bCs/>
          <w:color w:val="auto"/>
          <w:szCs w:val="32"/>
          <w:highlight w:val="none"/>
          <w:lang w:val="en-US" w:eastAsia="zh-CN"/>
        </w:rPr>
        <w:t>8</w:t>
      </w:r>
      <w:r>
        <w:rPr>
          <w:rFonts w:hint="eastAsia" w:ascii="楷体" w:hAnsi="楷体" w:eastAsia="楷体" w:cs="仿宋"/>
          <w:bCs/>
          <w:color w:val="auto"/>
          <w:szCs w:val="32"/>
          <w:highlight w:val="none"/>
        </w:rPr>
        <w:t>.强化移动源污染控制。</w:t>
      </w:r>
      <w:r>
        <w:rPr>
          <w:rFonts w:hint="eastAsia" w:ascii="仿宋" w:hAnsi="仿宋" w:eastAsia="仿宋"/>
          <w:color w:val="auto"/>
          <w:szCs w:val="32"/>
          <w:highlight w:val="none"/>
        </w:rPr>
        <w:t>统筹开展车、路、油治理和机动车污染防治，实现柴油车排放检验的全过程和检验结果的实时公开。</w:t>
      </w:r>
      <w:r>
        <w:rPr>
          <w:rFonts w:hint="eastAsia" w:ascii="仿宋" w:hAnsi="仿宋" w:eastAsia="仿宋"/>
          <w:color w:val="auto"/>
          <w:szCs w:val="32"/>
          <w:highlight w:val="none"/>
          <w:lang w:val="zh-TW" w:eastAsia="zh-TW"/>
        </w:rPr>
        <w:t>实施在用汽车排放检测和强制维护制度，加大老旧车辆淘汰力度</w:t>
      </w:r>
      <w:r>
        <w:rPr>
          <w:rFonts w:hint="eastAsia" w:ascii="仿宋" w:hAnsi="仿宋" w:eastAsia="仿宋"/>
          <w:color w:val="auto"/>
          <w:szCs w:val="32"/>
          <w:highlight w:val="none"/>
          <w:lang w:val="zh-TW"/>
        </w:rPr>
        <w:t>。提高清洁能源和新能源公交车、出租车比例，推广道路运输新能源车辆或清洁燃料车辆。加快推进绿色交通基础配套设施建设，不断满足充电桩、充电站、加氢站等设施的需求。</w:t>
      </w:r>
      <w:r>
        <w:rPr>
          <w:rFonts w:hint="eastAsia" w:ascii="仿宋" w:hAnsi="仿宋" w:eastAsia="仿宋"/>
          <w:color w:val="auto"/>
          <w:szCs w:val="32"/>
          <w:highlight w:val="none"/>
        </w:rPr>
        <w:t>组织开展专项行动，依法严厉打击生产、销售和使用非标车用燃料，彻底消除黑加油站点。</w:t>
      </w:r>
    </w:p>
    <w:p>
      <w:pPr>
        <w:spacing w:line="600" w:lineRule="exact"/>
        <w:ind w:firstLine="640" w:firstLineChars="200"/>
        <w:rPr>
          <w:rFonts w:ascii="仿宋" w:hAnsi="仿宋" w:eastAsia="仿宋"/>
          <w:color w:val="auto"/>
          <w:sz w:val="32"/>
          <w:szCs w:val="32"/>
          <w:highlight w:val="none"/>
        </w:rPr>
      </w:pPr>
      <w:r>
        <w:rPr>
          <w:rFonts w:hint="eastAsia" w:ascii="楷体" w:hAnsi="楷体" w:eastAsia="楷体" w:cs="仿宋"/>
          <w:bCs/>
          <w:color w:val="auto"/>
          <w:sz w:val="32"/>
          <w:szCs w:val="32"/>
          <w:highlight w:val="none"/>
          <w:lang w:val="en-US" w:eastAsia="zh-CN"/>
        </w:rPr>
        <w:t>9</w:t>
      </w:r>
      <w:r>
        <w:rPr>
          <w:rFonts w:hint="eastAsia" w:ascii="楷体" w:hAnsi="楷体" w:eastAsia="楷体" w:cs="仿宋"/>
          <w:bCs/>
          <w:color w:val="auto"/>
          <w:sz w:val="32"/>
          <w:szCs w:val="32"/>
          <w:highlight w:val="none"/>
        </w:rPr>
        <w:t>.实施城市扬尘控制行动。</w:t>
      </w:r>
      <w:r>
        <w:rPr>
          <w:rFonts w:hint="eastAsia" w:ascii="仿宋" w:hAnsi="仿宋" w:eastAsia="仿宋"/>
          <w:color w:val="auto"/>
          <w:sz w:val="32"/>
          <w:szCs w:val="32"/>
          <w:highlight w:val="none"/>
        </w:rPr>
        <w:t>以完善扬尘管控网络体系为重点，</w:t>
      </w:r>
      <w:r>
        <w:rPr>
          <w:rFonts w:hint="eastAsia" w:ascii="仿宋" w:hAnsi="仿宋" w:eastAsia="仿宋" w:cs="仿宋"/>
          <w:color w:val="auto"/>
          <w:sz w:val="32"/>
          <w:szCs w:val="32"/>
          <w:highlight w:val="none"/>
        </w:rPr>
        <w:t>全方位实施管控措施，有效降低城市扬尘污染。建筑、拆迁工地实现</w:t>
      </w:r>
      <w:r>
        <w:rPr>
          <w:rFonts w:hint="eastAsia" w:ascii="仿宋" w:hAnsi="仿宋" w:eastAsia="仿宋"/>
          <w:color w:val="auto"/>
          <w:sz w:val="32"/>
          <w:szCs w:val="32"/>
          <w:highlight w:val="none"/>
        </w:rPr>
        <w:t>“六个百分百”</w:t>
      </w:r>
      <w:r>
        <w:rPr>
          <w:rFonts w:hint="eastAsia" w:ascii="仿宋" w:hAnsi="仿宋" w:eastAsia="仿宋"/>
          <w:color w:val="auto"/>
          <w:sz w:val="32"/>
          <w:szCs w:val="32"/>
          <w:highlight w:val="none"/>
          <w:lang w:eastAsia="zh-CN"/>
        </w:rPr>
        <w:t>。</w:t>
      </w:r>
      <w:r>
        <w:rPr>
          <w:rFonts w:hint="eastAsia" w:ascii="仿宋" w:hAnsi="仿宋" w:eastAsia="仿宋" w:cs="仿宋"/>
          <w:color w:val="auto"/>
          <w:sz w:val="32"/>
          <w:szCs w:val="32"/>
          <w:highlight w:val="none"/>
        </w:rPr>
        <w:t>实施工业扬尘整治行动，重点管控混凝土搅拌站粉尘、渣土消纳场扬尘、企业料堆场和废渣场扬尘污染；</w:t>
      </w:r>
      <w:r>
        <w:rPr>
          <w:rFonts w:hint="eastAsia" w:ascii="仿宋" w:hAnsi="仿宋" w:eastAsia="仿宋"/>
          <w:color w:val="auto"/>
          <w:sz w:val="32"/>
          <w:szCs w:val="32"/>
          <w:highlight w:val="none"/>
        </w:rPr>
        <w:t>实施运输车辆泄漏遗撒整治，严控物料运输车辆泄漏、遗撒</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实施城市无尘清扫行动，主要干道和重要街路全部实现机械化湿式清扫；</w:t>
      </w:r>
      <w:r>
        <w:rPr>
          <w:rFonts w:hint="eastAsia" w:ascii="仿宋" w:hAnsi="仿宋" w:eastAsia="仿宋"/>
          <w:color w:val="auto"/>
          <w:sz w:val="32"/>
          <w:szCs w:val="32"/>
          <w:highlight w:val="none"/>
          <w:lang w:val="zh-TW" w:eastAsia="zh-TW"/>
        </w:rPr>
        <w:t>实施城市裸露土地绿化覆盖工程</w:t>
      </w:r>
      <w:r>
        <w:rPr>
          <w:rFonts w:hint="eastAsia" w:ascii="仿宋" w:hAnsi="仿宋" w:eastAsia="仿宋"/>
          <w:color w:val="auto"/>
          <w:sz w:val="32"/>
          <w:szCs w:val="32"/>
          <w:highlight w:val="none"/>
          <w:lang w:val="zh-TW" w:eastAsia="zh-CN"/>
        </w:rPr>
        <w:t>。</w:t>
      </w:r>
      <w:r>
        <w:rPr>
          <w:rFonts w:hint="eastAsia" w:ascii="仿宋" w:hAnsi="仿宋" w:eastAsia="仿宋" w:cs="仿宋"/>
          <w:color w:val="auto"/>
          <w:sz w:val="32"/>
          <w:szCs w:val="32"/>
          <w:highlight w:val="none"/>
        </w:rPr>
        <w:t>加快推进采煤影响区生态修复工程，有效解决</w:t>
      </w:r>
      <w:r>
        <w:rPr>
          <w:rFonts w:hint="eastAsia" w:ascii="仿宋" w:hAnsi="仿宋" w:eastAsia="仿宋"/>
          <w:color w:val="auto"/>
          <w:sz w:val="32"/>
          <w:szCs w:val="32"/>
          <w:highlight w:val="none"/>
        </w:rPr>
        <w:t>“两坑”“三场”</w:t>
      </w:r>
      <w:r>
        <w:rPr>
          <w:rFonts w:hint="eastAsia" w:ascii="仿宋" w:hAnsi="仿宋" w:eastAsia="仿宋" w:cs="仿宋"/>
          <w:color w:val="auto"/>
          <w:sz w:val="32"/>
          <w:szCs w:val="32"/>
          <w:highlight w:val="none"/>
        </w:rPr>
        <w:t>扬尘污染问题。</w:t>
      </w:r>
    </w:p>
    <w:p>
      <w:pPr>
        <w:pStyle w:val="23"/>
        <w:spacing w:line="600" w:lineRule="exact"/>
        <w:ind w:firstLine="640"/>
        <w:rPr>
          <w:rFonts w:hint="eastAsia" w:ascii="仿宋" w:hAnsi="仿宋" w:eastAsia="仿宋"/>
          <w:color w:val="auto"/>
          <w:szCs w:val="32"/>
          <w:highlight w:val="none"/>
        </w:rPr>
      </w:pPr>
      <w:r>
        <w:rPr>
          <w:rFonts w:hint="eastAsia" w:ascii="楷体" w:hAnsi="楷体" w:eastAsia="楷体" w:cs="仿宋"/>
          <w:bCs/>
          <w:color w:val="auto"/>
          <w:szCs w:val="32"/>
          <w:highlight w:val="none"/>
        </w:rPr>
        <w:t>1</w:t>
      </w:r>
      <w:r>
        <w:rPr>
          <w:rFonts w:hint="eastAsia" w:ascii="楷体" w:hAnsi="楷体" w:eastAsia="楷体" w:cs="仿宋"/>
          <w:bCs/>
          <w:color w:val="auto"/>
          <w:szCs w:val="32"/>
          <w:highlight w:val="none"/>
          <w:lang w:val="en-US" w:eastAsia="zh-CN"/>
        </w:rPr>
        <w:t>0</w:t>
      </w:r>
      <w:r>
        <w:rPr>
          <w:rFonts w:hint="eastAsia" w:ascii="楷体" w:hAnsi="楷体" w:eastAsia="楷体" w:cs="仿宋"/>
          <w:bCs/>
          <w:color w:val="auto"/>
          <w:szCs w:val="32"/>
          <w:highlight w:val="none"/>
        </w:rPr>
        <w:t>.推进</w:t>
      </w:r>
      <w:r>
        <w:rPr>
          <w:rFonts w:hint="eastAsia" w:ascii="楷体" w:hAnsi="楷体" w:eastAsia="楷体"/>
          <w:bCs/>
          <w:color w:val="auto"/>
          <w:szCs w:val="32"/>
          <w:highlight w:val="none"/>
        </w:rPr>
        <w:t>挥发性有机物</w:t>
      </w:r>
      <w:r>
        <w:rPr>
          <w:rFonts w:hint="eastAsia" w:ascii="楷体" w:hAnsi="楷体" w:eastAsia="楷体" w:cs="仿宋"/>
          <w:bCs/>
          <w:color w:val="auto"/>
          <w:szCs w:val="32"/>
          <w:highlight w:val="none"/>
        </w:rPr>
        <w:t>（VOCs）综合整治。</w:t>
      </w:r>
      <w:r>
        <w:rPr>
          <w:rFonts w:hint="eastAsia" w:ascii="仿宋" w:hAnsi="仿宋" w:eastAsia="仿宋"/>
          <w:color w:val="auto"/>
          <w:szCs w:val="32"/>
          <w:highlight w:val="none"/>
        </w:rPr>
        <w:t>以石化、化工、工业涂装、包装印刷和油品储运销五大</w:t>
      </w:r>
      <w:r>
        <w:rPr>
          <w:rFonts w:hint="eastAsia" w:ascii="仿宋" w:hAnsi="仿宋" w:eastAsia="仿宋"/>
          <w:color w:val="auto"/>
          <w:szCs w:val="32"/>
          <w:highlight w:val="none"/>
          <w:lang w:val="en-US" w:eastAsia="zh-CN"/>
        </w:rPr>
        <w:t>行业为</w:t>
      </w:r>
      <w:r>
        <w:rPr>
          <w:rFonts w:hint="eastAsia" w:ascii="仿宋" w:hAnsi="仿宋" w:eastAsia="仿宋"/>
          <w:color w:val="auto"/>
          <w:szCs w:val="32"/>
          <w:highlight w:val="none"/>
        </w:rPr>
        <w:t>重点，</w:t>
      </w:r>
      <w:r>
        <w:rPr>
          <w:rFonts w:hint="eastAsia" w:ascii="仿宋" w:hAnsi="仿宋" w:eastAsia="仿宋"/>
          <w:color w:val="auto"/>
          <w:szCs w:val="32"/>
          <w:highlight w:val="none"/>
          <w:lang w:val="zh-TW" w:eastAsia="zh-TW"/>
        </w:rPr>
        <w:t>扩大整治范围，</w:t>
      </w:r>
      <w:r>
        <w:rPr>
          <w:rFonts w:hint="eastAsia" w:ascii="仿宋" w:hAnsi="仿宋" w:eastAsia="仿宋"/>
          <w:color w:val="auto"/>
          <w:szCs w:val="32"/>
          <w:highlight w:val="none"/>
        </w:rPr>
        <w:t>深入开展</w:t>
      </w:r>
      <w:r>
        <w:rPr>
          <w:rFonts w:ascii="仿宋" w:hAnsi="仿宋" w:eastAsia="仿宋"/>
          <w:color w:val="auto"/>
          <w:szCs w:val="32"/>
          <w:highlight w:val="none"/>
        </w:rPr>
        <w:t>VOCs</w:t>
      </w:r>
      <w:r>
        <w:rPr>
          <w:rFonts w:hint="eastAsia" w:ascii="仿宋" w:hAnsi="仿宋" w:eastAsia="仿宋"/>
          <w:color w:val="auto"/>
          <w:szCs w:val="32"/>
          <w:highlight w:val="none"/>
        </w:rPr>
        <w:t>综合整治，</w:t>
      </w:r>
      <w:r>
        <w:rPr>
          <w:rFonts w:hint="eastAsia" w:ascii="仿宋" w:hAnsi="仿宋" w:eastAsia="仿宋"/>
          <w:color w:val="auto"/>
          <w:szCs w:val="32"/>
          <w:highlight w:val="none"/>
          <w:lang w:val="zh-TW"/>
        </w:rPr>
        <w:t>有效</w:t>
      </w:r>
      <w:r>
        <w:rPr>
          <w:rFonts w:hint="eastAsia" w:ascii="仿宋" w:hAnsi="仿宋" w:eastAsia="仿宋"/>
          <w:color w:val="auto"/>
          <w:szCs w:val="32"/>
          <w:highlight w:val="none"/>
          <w:lang w:val="zh-TW" w:eastAsia="zh-TW"/>
        </w:rPr>
        <w:t>减少臭氧排放</w:t>
      </w:r>
      <w:r>
        <w:rPr>
          <w:rFonts w:hint="eastAsia" w:ascii="仿宋" w:hAnsi="仿宋" w:eastAsia="仿宋"/>
          <w:color w:val="auto"/>
          <w:szCs w:val="32"/>
          <w:highlight w:val="none"/>
          <w:lang w:val="zh-TW"/>
        </w:rPr>
        <w:t>。</w:t>
      </w:r>
      <w:r>
        <w:rPr>
          <w:rFonts w:hint="eastAsia" w:ascii="仿宋" w:hAnsi="仿宋" w:eastAsia="仿宋"/>
          <w:color w:val="auto"/>
          <w:szCs w:val="32"/>
          <w:highlight w:val="none"/>
        </w:rPr>
        <w:t>开展全市汽修行业综合整治，大力提升</w:t>
      </w:r>
      <w:r>
        <w:rPr>
          <w:rFonts w:ascii="仿宋" w:hAnsi="仿宋" w:eastAsia="仿宋"/>
          <w:color w:val="auto"/>
          <w:szCs w:val="32"/>
          <w:highlight w:val="none"/>
        </w:rPr>
        <w:t>VOCs</w:t>
      </w:r>
      <w:r>
        <w:rPr>
          <w:rFonts w:hint="eastAsia" w:ascii="仿宋" w:hAnsi="仿宋" w:eastAsia="仿宋"/>
          <w:color w:val="auto"/>
          <w:szCs w:val="32"/>
          <w:highlight w:val="none"/>
        </w:rPr>
        <w:t>排放收集率、去除率和治理设施运行率。</w:t>
      </w:r>
    </w:p>
    <w:p>
      <w:pPr>
        <w:pStyle w:val="23"/>
        <w:spacing w:line="600" w:lineRule="exact"/>
        <w:ind w:firstLine="640"/>
        <w:rPr>
          <w:rFonts w:ascii="仿宋" w:hAnsi="仿宋" w:eastAsia="仿宋"/>
          <w:color w:val="auto"/>
          <w:szCs w:val="32"/>
          <w:highlight w:val="none"/>
          <w:lang w:val="zh-TW" w:eastAsia="zh-TW"/>
        </w:rPr>
      </w:pPr>
      <w:r>
        <w:rPr>
          <w:rFonts w:hint="eastAsia" w:ascii="楷体" w:hAnsi="楷体" w:eastAsia="楷体"/>
          <w:bCs/>
          <w:color w:val="auto"/>
          <w:szCs w:val="32"/>
          <w:highlight w:val="none"/>
        </w:rPr>
        <w:t>1</w:t>
      </w:r>
      <w:r>
        <w:rPr>
          <w:rFonts w:hint="eastAsia" w:ascii="楷体" w:hAnsi="楷体" w:eastAsia="楷体"/>
          <w:bCs/>
          <w:color w:val="auto"/>
          <w:szCs w:val="32"/>
          <w:highlight w:val="none"/>
          <w:lang w:val="en-US" w:eastAsia="zh-CN"/>
        </w:rPr>
        <w:t>1</w:t>
      </w:r>
      <w:r>
        <w:rPr>
          <w:rFonts w:hint="eastAsia" w:ascii="楷体" w:hAnsi="楷体" w:eastAsia="楷体"/>
          <w:bCs/>
          <w:color w:val="auto"/>
          <w:szCs w:val="32"/>
          <w:highlight w:val="none"/>
        </w:rPr>
        <w:t>.</w:t>
      </w:r>
      <w:r>
        <w:rPr>
          <w:rFonts w:hint="eastAsia" w:ascii="楷体" w:hAnsi="楷体" w:eastAsia="楷体"/>
          <w:bCs/>
          <w:color w:val="auto"/>
          <w:szCs w:val="32"/>
          <w:highlight w:val="none"/>
          <w:lang w:val="zh-TW" w:eastAsia="zh-TW"/>
        </w:rPr>
        <w:t>推进秸秆综合利用和禁烧管控。</w:t>
      </w:r>
      <w:r>
        <w:rPr>
          <w:rFonts w:hint="eastAsia" w:ascii="仿宋" w:hAnsi="仿宋" w:eastAsia="仿宋"/>
          <w:color w:val="auto"/>
          <w:szCs w:val="32"/>
          <w:highlight w:val="none"/>
          <w:lang w:val="zh-TW" w:eastAsia="zh-TW"/>
        </w:rPr>
        <w:t>加强秸秆焚烧综合管控，开展秸秆焚烧监控，严禁秸秆露天焚烧，深入推进秸秆肥料化、饲料化、燃料化、基料化、原料化利用和收贮运服务体系建设，推动秸秆综合利用产业化发展，进一步提高秸秆综合利用水平。</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rPr>
        <w:t>1</w:t>
      </w:r>
      <w:r>
        <w:rPr>
          <w:rFonts w:hint="eastAsia" w:ascii="楷体" w:hAnsi="楷体" w:eastAsia="楷体"/>
          <w:bCs/>
          <w:color w:val="auto"/>
          <w:szCs w:val="32"/>
          <w:highlight w:val="none"/>
          <w:lang w:val="en-US" w:eastAsia="zh-CN"/>
        </w:rPr>
        <w:t>2</w:t>
      </w:r>
      <w:r>
        <w:rPr>
          <w:rFonts w:hint="eastAsia" w:ascii="楷体" w:hAnsi="楷体" w:eastAsia="楷体"/>
          <w:bCs/>
          <w:color w:val="auto"/>
          <w:szCs w:val="32"/>
          <w:highlight w:val="none"/>
        </w:rPr>
        <w:t>.实施</w:t>
      </w:r>
      <w:r>
        <w:rPr>
          <w:rFonts w:hint="eastAsia" w:ascii="楷体" w:hAnsi="楷体" w:eastAsia="楷体"/>
          <w:bCs/>
          <w:color w:val="auto"/>
          <w:szCs w:val="32"/>
          <w:highlight w:val="none"/>
          <w:lang w:val="zh-TW" w:eastAsia="zh-TW"/>
        </w:rPr>
        <w:t>大气污染联防联控</w:t>
      </w:r>
      <w:r>
        <w:rPr>
          <w:rFonts w:hint="eastAsia" w:ascii="楷体" w:hAnsi="楷体" w:eastAsia="楷体"/>
          <w:bCs/>
          <w:color w:val="auto"/>
          <w:szCs w:val="32"/>
          <w:highlight w:val="none"/>
          <w:lang w:val="zh-TW"/>
        </w:rPr>
        <w:t>。</w:t>
      </w:r>
      <w:r>
        <w:rPr>
          <w:rFonts w:hint="eastAsia" w:ascii="仿宋" w:hAnsi="仿宋" w:eastAsia="仿宋"/>
          <w:color w:val="auto"/>
          <w:szCs w:val="32"/>
          <w:highlight w:val="none"/>
          <w:lang w:val="zh-TW" w:eastAsia="zh-TW"/>
        </w:rPr>
        <w:t>进一步强化</w:t>
      </w:r>
      <w:r>
        <w:rPr>
          <w:rFonts w:hint="eastAsia" w:ascii="仿宋" w:hAnsi="仿宋" w:eastAsia="仿宋"/>
          <w:color w:val="auto"/>
          <w:szCs w:val="32"/>
          <w:highlight w:val="none"/>
        </w:rPr>
        <w:t>抚顺</w:t>
      </w:r>
      <w:r>
        <w:rPr>
          <w:rFonts w:hint="eastAsia" w:ascii="仿宋" w:hAnsi="仿宋" w:eastAsia="仿宋"/>
          <w:color w:val="auto"/>
          <w:szCs w:val="32"/>
          <w:highlight w:val="none"/>
          <w:lang w:val="zh-TW" w:eastAsia="zh-TW"/>
        </w:rPr>
        <w:t>及</w:t>
      </w:r>
      <w:r>
        <w:rPr>
          <w:rFonts w:hint="eastAsia" w:ascii="仿宋" w:hAnsi="仿宋" w:eastAsia="仿宋"/>
          <w:color w:val="auto"/>
          <w:szCs w:val="32"/>
          <w:highlight w:val="none"/>
          <w:lang w:val="zh-TW"/>
        </w:rPr>
        <w:t>沈抚示范区</w:t>
      </w:r>
      <w:r>
        <w:rPr>
          <w:rFonts w:hint="eastAsia" w:ascii="仿宋" w:hAnsi="仿宋" w:eastAsia="仿宋"/>
          <w:color w:val="auto"/>
          <w:szCs w:val="32"/>
          <w:highlight w:val="none"/>
          <w:lang w:val="zh-TW" w:eastAsia="zh-TW"/>
        </w:rPr>
        <w:t>大气污染联防联控，建立常态化的区域协作机制</w:t>
      </w:r>
      <w:r>
        <w:rPr>
          <w:rFonts w:hint="eastAsia" w:ascii="仿宋" w:hAnsi="仿宋" w:eastAsia="仿宋"/>
          <w:color w:val="auto"/>
          <w:szCs w:val="32"/>
          <w:highlight w:val="none"/>
          <w:lang w:val="zh-TW"/>
        </w:rPr>
        <w:t>。</w:t>
      </w:r>
      <w:r>
        <w:rPr>
          <w:rFonts w:hint="eastAsia" w:ascii="仿宋" w:hAnsi="仿宋" w:eastAsia="仿宋"/>
          <w:color w:val="auto"/>
          <w:szCs w:val="32"/>
          <w:highlight w:val="none"/>
        </w:rPr>
        <w:t>有效利用污染源在线监控、高空监控、无人机等监控监管设施，</w:t>
      </w:r>
      <w:r>
        <w:rPr>
          <w:rFonts w:hint="eastAsia" w:ascii="仿宋" w:hAnsi="仿宋" w:eastAsia="仿宋"/>
          <w:color w:val="auto"/>
          <w:szCs w:val="32"/>
          <w:highlight w:val="none"/>
          <w:lang w:val="zh-TW" w:eastAsia="zh-TW"/>
        </w:rPr>
        <w:t>加</w:t>
      </w:r>
      <w:r>
        <w:rPr>
          <w:rFonts w:hint="eastAsia" w:ascii="仿宋" w:hAnsi="仿宋" w:eastAsia="仿宋"/>
          <w:color w:val="auto"/>
          <w:szCs w:val="32"/>
          <w:highlight w:val="none"/>
        </w:rPr>
        <w:t>大</w:t>
      </w:r>
      <w:r>
        <w:rPr>
          <w:rFonts w:hint="eastAsia" w:ascii="仿宋" w:hAnsi="仿宋" w:eastAsia="仿宋"/>
          <w:color w:val="auto"/>
          <w:szCs w:val="32"/>
          <w:highlight w:val="none"/>
          <w:lang w:val="zh-TW" w:eastAsia="zh-TW"/>
        </w:rPr>
        <w:t>联合执法检查力度，集中整治违法排污企业。</w:t>
      </w:r>
    </w:p>
    <w:p>
      <w:pPr>
        <w:pStyle w:val="23"/>
        <w:spacing w:line="600" w:lineRule="exact"/>
        <w:ind w:firstLine="640"/>
        <w:rPr>
          <w:rFonts w:ascii="仿宋" w:hAnsi="仿宋" w:eastAsia="仿宋"/>
          <w:color w:val="auto"/>
          <w:szCs w:val="32"/>
          <w:highlight w:val="none"/>
          <w:lang w:val="zh-TW"/>
        </w:rPr>
      </w:pPr>
      <w:r>
        <w:rPr>
          <w:rFonts w:hint="eastAsia" w:ascii="楷体" w:hAnsi="楷体" w:eastAsia="楷体"/>
          <w:bCs/>
          <w:color w:val="auto"/>
          <w:szCs w:val="32"/>
          <w:highlight w:val="none"/>
        </w:rPr>
        <w:t>1</w:t>
      </w:r>
      <w:r>
        <w:rPr>
          <w:rFonts w:hint="eastAsia" w:ascii="楷体" w:hAnsi="楷体" w:eastAsia="楷体"/>
          <w:bCs/>
          <w:color w:val="auto"/>
          <w:szCs w:val="32"/>
          <w:highlight w:val="none"/>
          <w:lang w:val="en-US" w:eastAsia="zh-CN"/>
        </w:rPr>
        <w:t>3</w:t>
      </w:r>
      <w:r>
        <w:rPr>
          <w:rFonts w:hint="eastAsia" w:ascii="楷体" w:hAnsi="楷体" w:eastAsia="楷体"/>
          <w:bCs/>
          <w:color w:val="auto"/>
          <w:szCs w:val="32"/>
          <w:highlight w:val="none"/>
        </w:rPr>
        <w:t>.提升污染物协同减排效率</w:t>
      </w:r>
      <w:r>
        <w:rPr>
          <w:rFonts w:hint="eastAsia" w:ascii="楷体" w:hAnsi="楷体" w:eastAsia="楷体"/>
          <w:bCs/>
          <w:color w:val="auto"/>
          <w:szCs w:val="32"/>
          <w:highlight w:val="none"/>
          <w:lang w:val="zh-TW"/>
        </w:rPr>
        <w:t>。</w:t>
      </w:r>
      <w:r>
        <w:rPr>
          <w:rFonts w:hint="eastAsia" w:ascii="仿宋" w:hAnsi="仿宋" w:eastAsia="仿宋"/>
          <w:color w:val="auto"/>
          <w:szCs w:val="32"/>
          <w:highlight w:val="none"/>
          <w:lang w:val="zh-TW"/>
        </w:rPr>
        <w:t>贯彻落实国家、省市有关二氧化碳排放强度和总量“双控”要求，积极探索管理措施协同、减排项目协同、技术手段协同等减排形式，加快构建污染物一氧化碳和温室气体二氧化碳协同减排机制，扎实开展同步协同治理措施，实现多方向、多维度减排增效，形成多行业综合治理、各项污染物协同减排的生态环境治理新格局。</w:t>
      </w:r>
    </w:p>
    <w:p>
      <w:pPr>
        <w:pStyle w:val="23"/>
        <w:spacing w:line="600" w:lineRule="exact"/>
        <w:ind w:firstLine="640"/>
        <w:rPr>
          <w:rFonts w:hint="eastAsia" w:ascii="仿宋" w:hAnsi="仿宋" w:eastAsia="仿宋"/>
          <w:color w:val="auto"/>
          <w:szCs w:val="32"/>
          <w:highlight w:val="none"/>
          <w:lang w:val="zh-TW" w:eastAsia="zh-CN"/>
        </w:rPr>
      </w:pPr>
      <w:r>
        <w:rPr>
          <w:rFonts w:hint="eastAsia" w:ascii="楷体" w:hAnsi="楷体" w:eastAsia="楷体"/>
          <w:bCs/>
          <w:color w:val="auto"/>
          <w:szCs w:val="32"/>
          <w:highlight w:val="none"/>
        </w:rPr>
        <w:t>1</w:t>
      </w:r>
      <w:r>
        <w:rPr>
          <w:rFonts w:hint="eastAsia" w:ascii="楷体" w:hAnsi="楷体" w:eastAsia="楷体"/>
          <w:bCs/>
          <w:color w:val="auto"/>
          <w:szCs w:val="32"/>
          <w:highlight w:val="none"/>
          <w:lang w:val="en-US" w:eastAsia="zh-CN"/>
        </w:rPr>
        <w:t>4</w:t>
      </w:r>
      <w:r>
        <w:rPr>
          <w:rFonts w:hint="eastAsia" w:ascii="楷体" w:hAnsi="楷体" w:eastAsia="楷体"/>
          <w:bCs/>
          <w:color w:val="auto"/>
          <w:szCs w:val="32"/>
          <w:highlight w:val="none"/>
        </w:rPr>
        <w:t>.</w:t>
      </w:r>
      <w:r>
        <w:rPr>
          <w:rFonts w:hint="eastAsia" w:ascii="楷体" w:hAnsi="楷体" w:eastAsia="楷体"/>
          <w:bCs/>
          <w:color w:val="auto"/>
          <w:szCs w:val="32"/>
          <w:highlight w:val="none"/>
          <w:lang w:val="zh-TW"/>
        </w:rPr>
        <w:t>加强其它涉气污染物治理。</w:t>
      </w:r>
      <w:r>
        <w:rPr>
          <w:rFonts w:hint="eastAsia" w:ascii="仿宋" w:hAnsi="仿宋" w:eastAsia="仿宋"/>
          <w:color w:val="auto"/>
          <w:szCs w:val="32"/>
          <w:highlight w:val="none"/>
          <w:lang w:val="zh-TW"/>
        </w:rPr>
        <w:t>推进养殖业、种植业大气氨减排。推进工业烟气中三氧化硫、汞、铅、砷、镉等多种非常规污染物脱除。加强生物质锅炉燃料品质及排放管控，禁止使用劣质燃料或掺烧垃圾、工业固废，对污染物排放不符合要求的生物质锅炉进行整改或淘汰。</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rPr>
        <w:t>1</w:t>
      </w:r>
      <w:r>
        <w:rPr>
          <w:rFonts w:hint="eastAsia" w:ascii="楷体" w:hAnsi="楷体" w:eastAsia="楷体"/>
          <w:bCs/>
          <w:color w:val="auto"/>
          <w:szCs w:val="32"/>
          <w:highlight w:val="none"/>
          <w:lang w:val="en-US" w:eastAsia="zh-CN"/>
        </w:rPr>
        <w:t>5</w:t>
      </w:r>
      <w:r>
        <w:rPr>
          <w:rFonts w:hint="eastAsia" w:ascii="楷体" w:hAnsi="楷体" w:eastAsia="楷体"/>
          <w:bCs/>
          <w:color w:val="auto"/>
          <w:szCs w:val="32"/>
          <w:highlight w:val="none"/>
        </w:rPr>
        <w:t>.实现大气环境“天</w:t>
      </w:r>
      <w:r>
        <w:rPr>
          <w:rFonts w:hint="eastAsia" w:ascii="楷体" w:hAnsi="楷体" w:eastAsia="楷体"/>
          <w:bCs/>
          <w:color w:val="auto"/>
          <w:szCs w:val="32"/>
          <w:highlight w:val="none"/>
          <w:lang w:val="en-US" w:eastAsia="zh-CN"/>
        </w:rPr>
        <w:t>空</w:t>
      </w:r>
      <w:r>
        <w:rPr>
          <w:rFonts w:hint="eastAsia" w:ascii="楷体" w:hAnsi="楷体" w:eastAsia="楷体"/>
          <w:bCs/>
          <w:color w:val="auto"/>
          <w:szCs w:val="32"/>
          <w:highlight w:val="none"/>
        </w:rPr>
        <w:t>地一体化”协同监管。</w:t>
      </w:r>
      <w:r>
        <w:rPr>
          <w:rFonts w:hint="eastAsia" w:ascii="仿宋" w:hAnsi="仿宋" w:eastAsia="仿宋"/>
          <w:color w:val="auto"/>
          <w:szCs w:val="32"/>
          <w:highlight w:val="none"/>
        </w:rPr>
        <w:t>加强卫星遥感、走航、道路干线监测、光化学观测等。2023年底前，通过数据集成，实现大气污染来源解析、散乱污企业识别、重污染天气预警预报、执法交办处置、“点一线一面一体”大气污染物三维立体监测监管。</w:t>
      </w:r>
    </w:p>
    <w:tbl>
      <w:tblPr>
        <w:tblStyle w:val="24"/>
        <w:tblW w:w="84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481" w:type="dxa"/>
          </w:tcPr>
          <w:p>
            <w:pPr>
              <w:pStyle w:val="23"/>
              <w:spacing w:line="400" w:lineRule="exact"/>
              <w:ind w:firstLine="0" w:firstLineChars="0"/>
              <w:jc w:val="center"/>
              <w:rPr>
                <w:rFonts w:ascii="楷体" w:hAnsi="楷体" w:eastAsia="楷体"/>
                <w:color w:val="auto"/>
                <w:sz w:val="28"/>
                <w:szCs w:val="28"/>
                <w:highlight w:val="none"/>
                <w:lang w:val="zh-TW"/>
              </w:rPr>
            </w:pPr>
            <w:r>
              <w:rPr>
                <w:rFonts w:hint="eastAsia" w:ascii="楷体" w:hAnsi="楷体" w:eastAsia="楷体" w:cs="仿宋"/>
                <w:b/>
                <w:bCs/>
                <w:color w:val="auto"/>
                <w:sz w:val="28"/>
                <w:szCs w:val="28"/>
                <w:highlight w:val="none"/>
              </w:rPr>
              <w:t>专栏1：深入推进大气环境治理重点项目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rPr>
        <w:tc>
          <w:tcPr>
            <w:tcW w:w="8481" w:type="dxa"/>
          </w:tcPr>
          <w:p>
            <w:pPr>
              <w:numPr>
                <w:ilvl w:val="0"/>
                <w:numId w:val="3"/>
              </w:numPr>
              <w:spacing w:line="400" w:lineRule="exact"/>
              <w:ind w:left="454" w:leftChars="0" w:hanging="454"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抚顺市城中村及城市周边区域散煤替代工程</w:t>
            </w:r>
          </w:p>
          <w:p>
            <w:pPr>
              <w:numPr>
                <w:ilvl w:val="0"/>
                <w:numId w:val="3"/>
              </w:numPr>
              <w:spacing w:line="400" w:lineRule="exact"/>
              <w:ind w:left="454" w:leftChars="0" w:hanging="454"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抚顺特钢节能减排改造项目</w:t>
            </w:r>
          </w:p>
          <w:p>
            <w:pPr>
              <w:numPr>
                <w:ilvl w:val="0"/>
                <w:numId w:val="3"/>
              </w:numPr>
              <w:spacing w:line="400" w:lineRule="exact"/>
              <w:ind w:left="454" w:leftChars="0" w:hanging="454"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抚顺新钢铁有限责任公司3号烧结机脱硝改造工程</w:t>
            </w:r>
          </w:p>
          <w:p>
            <w:pPr>
              <w:numPr>
                <w:ilvl w:val="0"/>
                <w:numId w:val="3"/>
              </w:numPr>
              <w:spacing w:line="400" w:lineRule="exact"/>
              <w:ind w:left="454" w:leftChars="0" w:hanging="454"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抚顺新钢铁有限责任公司4号烧结机脱硝改造工程</w:t>
            </w:r>
          </w:p>
          <w:p>
            <w:pPr>
              <w:numPr>
                <w:ilvl w:val="0"/>
                <w:numId w:val="3"/>
              </w:numPr>
              <w:spacing w:line="400" w:lineRule="exact"/>
              <w:ind w:left="454" w:leftChars="0" w:hanging="454"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抚顺新钢铁有限责任公司转炉节能环保升级改造项目</w:t>
            </w:r>
          </w:p>
          <w:p>
            <w:pPr>
              <w:numPr>
                <w:ilvl w:val="0"/>
                <w:numId w:val="3"/>
              </w:numPr>
              <w:spacing w:line="400" w:lineRule="exact"/>
              <w:ind w:left="454" w:leftChars="0" w:hanging="454"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抚顺新钢铁有限责任公司原料场环保改造工程</w:t>
            </w:r>
          </w:p>
          <w:p>
            <w:pPr>
              <w:numPr>
                <w:ilvl w:val="0"/>
                <w:numId w:val="3"/>
              </w:numPr>
              <w:spacing w:line="400" w:lineRule="exact"/>
              <w:ind w:left="454" w:leftChars="0" w:hanging="454"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大化国瑞有限公司炉窑改造项目</w:t>
            </w:r>
          </w:p>
          <w:p>
            <w:pPr>
              <w:numPr>
                <w:ilvl w:val="0"/>
                <w:numId w:val="3"/>
              </w:numPr>
              <w:spacing w:line="400" w:lineRule="exact"/>
              <w:ind w:left="454" w:leftChars="0" w:hanging="454"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抚顺石化紧急放空气体隐患（一厂）</w:t>
            </w:r>
          </w:p>
          <w:p>
            <w:pPr>
              <w:numPr>
                <w:ilvl w:val="0"/>
                <w:numId w:val="3"/>
              </w:numPr>
              <w:spacing w:line="400" w:lineRule="exact"/>
              <w:ind w:left="454" w:leftChars="0" w:hanging="454" w:firstLine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石油二厂污水处理场隔油池、酸性水罐VOCs治理改造工程</w:t>
            </w:r>
          </w:p>
          <w:p>
            <w:pPr>
              <w:numPr>
                <w:ilvl w:val="0"/>
                <w:numId w:val="0"/>
              </w:numPr>
              <w:spacing w:line="400" w:lineRule="exact"/>
              <w:ind w:left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石油二厂甲乙酮汽车火车VOCs治理</w:t>
            </w:r>
          </w:p>
          <w:p>
            <w:pPr>
              <w:numPr>
                <w:ilvl w:val="0"/>
                <w:numId w:val="0"/>
              </w:numPr>
              <w:spacing w:line="400" w:lineRule="exact"/>
              <w:ind w:left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rPr>
              <w:t>石油二厂净水生化单位废气治理</w:t>
            </w:r>
          </w:p>
          <w:p>
            <w:pPr>
              <w:numPr>
                <w:ilvl w:val="0"/>
                <w:numId w:val="0"/>
              </w:numPr>
              <w:spacing w:line="400" w:lineRule="exact"/>
              <w:ind w:left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石油二厂中转站原油装车VOCs治理</w:t>
            </w:r>
          </w:p>
          <w:p>
            <w:pPr>
              <w:numPr>
                <w:ilvl w:val="0"/>
                <w:numId w:val="0"/>
              </w:numPr>
              <w:spacing w:line="400" w:lineRule="exact"/>
              <w:ind w:left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13.</w:t>
            </w:r>
            <w:r>
              <w:rPr>
                <w:rFonts w:hint="eastAsia" w:ascii="宋体" w:hAnsi="宋体" w:eastAsia="宋体" w:cs="宋体"/>
                <w:b w:val="0"/>
                <w:bCs w:val="0"/>
                <w:color w:val="auto"/>
                <w:sz w:val="21"/>
                <w:szCs w:val="21"/>
                <w:highlight w:val="none"/>
              </w:rPr>
              <w:t>抚顺石化隔油池异味治理</w:t>
            </w:r>
          </w:p>
          <w:p>
            <w:pPr>
              <w:numPr>
                <w:ilvl w:val="0"/>
                <w:numId w:val="0"/>
              </w:numPr>
              <w:spacing w:line="400" w:lineRule="exact"/>
              <w:ind w:left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14.</w:t>
            </w:r>
            <w:r>
              <w:rPr>
                <w:rFonts w:hint="eastAsia" w:ascii="宋体" w:hAnsi="宋体" w:eastAsia="宋体" w:cs="宋体"/>
                <w:b w:val="0"/>
                <w:bCs w:val="0"/>
                <w:color w:val="auto"/>
                <w:sz w:val="21"/>
                <w:szCs w:val="21"/>
                <w:highlight w:val="none"/>
              </w:rPr>
              <w:t>石油二厂储罐VOCs治理</w:t>
            </w:r>
          </w:p>
          <w:p>
            <w:pPr>
              <w:numPr>
                <w:ilvl w:val="0"/>
                <w:numId w:val="0"/>
              </w:numPr>
              <w:spacing w:line="400" w:lineRule="exact"/>
              <w:ind w:left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抚顺石化厂界自动检测治理</w:t>
            </w:r>
          </w:p>
          <w:p>
            <w:pPr>
              <w:numPr>
                <w:ilvl w:val="0"/>
                <w:numId w:val="0"/>
              </w:numPr>
              <w:spacing w:line="400" w:lineRule="exact"/>
              <w:ind w:left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rPr>
              <w:t>抚顺石化在线监测数据上传隐患治理</w:t>
            </w:r>
          </w:p>
          <w:p>
            <w:pPr>
              <w:numPr>
                <w:ilvl w:val="0"/>
                <w:numId w:val="0"/>
              </w:numPr>
              <w:spacing w:line="400" w:lineRule="exact"/>
              <w:ind w:left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17.</w:t>
            </w:r>
            <w:r>
              <w:rPr>
                <w:rFonts w:hint="eastAsia" w:ascii="宋体" w:hAnsi="宋体" w:eastAsia="宋体" w:cs="宋体"/>
                <w:b w:val="0"/>
                <w:bCs w:val="0"/>
                <w:color w:val="auto"/>
                <w:sz w:val="21"/>
                <w:szCs w:val="21"/>
                <w:highlight w:val="none"/>
              </w:rPr>
              <w:t>烯烃厂丁苯橡胶异味综合治理项目</w:t>
            </w:r>
          </w:p>
          <w:p>
            <w:pPr>
              <w:numPr>
                <w:ilvl w:val="0"/>
                <w:numId w:val="0"/>
              </w:numPr>
              <w:spacing w:line="400" w:lineRule="exact"/>
              <w:ind w:left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rPr>
              <w:t>烯烃厂三聚装置废气收集处理项目</w:t>
            </w:r>
          </w:p>
          <w:p>
            <w:pPr>
              <w:numPr>
                <w:ilvl w:val="0"/>
                <w:numId w:val="0"/>
              </w:numPr>
              <w:spacing w:line="400" w:lineRule="exact"/>
              <w:ind w:left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19.</w:t>
            </w:r>
            <w:r>
              <w:rPr>
                <w:rFonts w:hint="eastAsia" w:ascii="宋体" w:hAnsi="宋体" w:eastAsia="宋体" w:cs="宋体"/>
                <w:b w:val="0"/>
                <w:bCs w:val="0"/>
                <w:color w:val="auto"/>
                <w:sz w:val="21"/>
                <w:szCs w:val="21"/>
                <w:highlight w:val="none"/>
              </w:rPr>
              <w:t>石油三厂储罐浮盘及密封隐患项目</w:t>
            </w:r>
          </w:p>
          <w:p>
            <w:pPr>
              <w:numPr>
                <w:ilvl w:val="0"/>
                <w:numId w:val="0"/>
              </w:numPr>
              <w:spacing w:line="400" w:lineRule="exact"/>
              <w:ind w:leftChars="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石油二厂洗槽站密闭蒸汽洗罐项目</w:t>
            </w:r>
          </w:p>
          <w:p>
            <w:pPr>
              <w:numPr>
                <w:ilvl w:val="0"/>
                <w:numId w:val="0"/>
              </w:numPr>
              <w:spacing w:line="400" w:lineRule="exact"/>
              <w:ind w:leftChars="0"/>
              <w:jc w:val="left"/>
              <w:rPr>
                <w:b/>
                <w:bCs/>
                <w:color w:val="auto"/>
                <w:sz w:val="24"/>
                <w:highlight w:val="none"/>
              </w:rPr>
            </w:pPr>
            <w:r>
              <w:rPr>
                <w:rFonts w:hint="eastAsia" w:ascii="宋体" w:hAnsi="宋体" w:eastAsia="宋体" w:cs="宋体"/>
                <w:b w:val="0"/>
                <w:bCs w:val="0"/>
                <w:color w:val="auto"/>
                <w:sz w:val="21"/>
                <w:szCs w:val="21"/>
                <w:highlight w:val="none"/>
                <w:lang w:val="en-US" w:eastAsia="zh-CN"/>
              </w:rPr>
              <w:t>21.</w:t>
            </w:r>
            <w:r>
              <w:rPr>
                <w:rFonts w:hint="eastAsia" w:ascii="宋体" w:hAnsi="宋体" w:eastAsia="宋体" w:cs="宋体"/>
                <w:b w:val="0"/>
                <w:bCs w:val="0"/>
                <w:color w:val="auto"/>
                <w:sz w:val="21"/>
                <w:szCs w:val="21"/>
                <w:highlight w:val="none"/>
              </w:rPr>
              <w:t>石油二厂航煤储运系统升级改造</w:t>
            </w:r>
          </w:p>
        </w:tc>
      </w:tr>
    </w:tbl>
    <w:p>
      <w:pPr>
        <w:pStyle w:val="23"/>
        <w:spacing w:line="600" w:lineRule="exact"/>
        <w:ind w:firstLine="643"/>
        <w:outlineLvl w:val="1"/>
        <w:rPr>
          <w:rFonts w:asciiTheme="minorEastAsia" w:hAnsiTheme="minorEastAsia" w:eastAsiaTheme="minorEastAsia"/>
          <w:b/>
          <w:color w:val="auto"/>
          <w:szCs w:val="32"/>
          <w:highlight w:val="none"/>
          <w:lang w:val="zh-TW"/>
        </w:rPr>
      </w:pPr>
      <w:bookmarkStart w:id="23" w:name="_Toc4808"/>
      <w:r>
        <w:rPr>
          <w:rFonts w:hint="eastAsia" w:asciiTheme="minorEastAsia" w:hAnsiTheme="minorEastAsia" w:eastAsiaTheme="minorEastAsia"/>
          <w:b/>
          <w:color w:val="auto"/>
          <w:szCs w:val="32"/>
          <w:highlight w:val="none"/>
          <w:shd w:val="clear" w:color="auto" w:fill="FFFFFF"/>
        </w:rPr>
        <w:t>（二）深化</w:t>
      </w:r>
      <w:r>
        <w:rPr>
          <w:rFonts w:asciiTheme="minorEastAsia" w:hAnsiTheme="minorEastAsia" w:eastAsiaTheme="minorEastAsia"/>
          <w:b/>
          <w:color w:val="auto"/>
          <w:szCs w:val="32"/>
          <w:highlight w:val="none"/>
          <w:shd w:val="clear" w:color="auto" w:fill="FFFFFF"/>
        </w:rPr>
        <w:t>水环境综合治理</w:t>
      </w:r>
      <w:bookmarkEnd w:id="23"/>
      <w:bookmarkStart w:id="24" w:name="_Toc5274"/>
    </w:p>
    <w:bookmarkEnd w:id="24"/>
    <w:p>
      <w:pPr>
        <w:pStyle w:val="23"/>
        <w:spacing w:line="600" w:lineRule="exact"/>
        <w:ind w:firstLine="640"/>
        <w:rPr>
          <w:rFonts w:ascii="仿宋" w:hAnsi="仿宋" w:eastAsia="仿宋"/>
          <w:color w:val="auto"/>
          <w:szCs w:val="32"/>
          <w:highlight w:val="none"/>
        </w:rPr>
      </w:pPr>
      <w:r>
        <w:rPr>
          <w:rFonts w:hint="eastAsia" w:ascii="仿宋" w:hAnsi="仿宋" w:eastAsia="仿宋"/>
          <w:color w:val="auto"/>
          <w:szCs w:val="32"/>
          <w:highlight w:val="none"/>
        </w:rPr>
        <w:t>坚持“三水”统筹，以水生态系统治理为核心，以持续提升水环境质量为重点，统筹水资源利用、水生态保护和水环境治理，污染减排与生态扩容两手发力，“保好水”“治差水”，深入推进水污染防治攻坚行动，系统推进工业、农业、生活污染治理，保障河湖高质量生态流量，强化水生态系统保护修复、风险防控，加强河道整治，严格排污口管控。</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rPr>
        <w:t>1.开展河流综合整治。</w:t>
      </w:r>
      <w:r>
        <w:rPr>
          <w:rFonts w:hint="eastAsia" w:ascii="仿宋" w:hAnsi="仿宋" w:eastAsia="仿宋"/>
          <w:color w:val="auto"/>
          <w:szCs w:val="32"/>
          <w:highlight w:val="none"/>
        </w:rPr>
        <w:t>实施综合治理工程，重点开展</w:t>
      </w:r>
      <w:r>
        <w:rPr>
          <w:rFonts w:hint="eastAsia" w:ascii="仿宋" w:hAnsi="仿宋" w:eastAsia="仿宋"/>
          <w:color w:val="auto"/>
          <w:szCs w:val="32"/>
          <w:highlight w:val="none"/>
          <w:lang w:eastAsia="zh-CN"/>
        </w:rPr>
        <w:t>浑河、</w:t>
      </w:r>
      <w:r>
        <w:rPr>
          <w:rFonts w:hint="eastAsia" w:ascii="仿宋" w:hAnsi="仿宋" w:eastAsia="仿宋"/>
          <w:color w:val="auto"/>
          <w:szCs w:val="32"/>
          <w:highlight w:val="none"/>
        </w:rPr>
        <w:t>辉发河、社河、苏子河、大伙房水库、章党河、</w:t>
      </w:r>
      <w:r>
        <w:rPr>
          <w:rFonts w:hint="eastAsia" w:ascii="仿宋" w:hAnsi="仿宋" w:eastAsia="仿宋"/>
          <w:color w:val="auto"/>
          <w:szCs w:val="32"/>
          <w:highlight w:val="none"/>
          <w:lang w:eastAsia="zh-CN"/>
        </w:rPr>
        <w:t>富尔江、</w:t>
      </w:r>
      <w:r>
        <w:rPr>
          <w:rFonts w:hint="eastAsia" w:ascii="仿宋" w:hAnsi="仿宋" w:eastAsia="仿宋"/>
          <w:color w:val="auto"/>
          <w:szCs w:val="32"/>
          <w:highlight w:val="none"/>
        </w:rPr>
        <w:t>北太子河综合整治行动，新</w:t>
      </w:r>
      <w:r>
        <w:rPr>
          <w:rFonts w:hint="eastAsia" w:ascii="仿宋" w:hAnsi="仿宋" w:eastAsia="仿宋"/>
          <w:color w:val="auto"/>
          <w:szCs w:val="32"/>
          <w:highlight w:val="none"/>
          <w:lang w:eastAsia="zh-CN"/>
        </w:rPr>
        <w:t>建</w:t>
      </w:r>
      <w:r>
        <w:rPr>
          <w:rFonts w:hint="eastAsia" w:ascii="仿宋" w:hAnsi="仿宋" w:eastAsia="仿宋"/>
          <w:color w:val="auto"/>
          <w:szCs w:val="32"/>
          <w:highlight w:val="none"/>
        </w:rPr>
        <w:t>人工湿地、村屯污水收集处理设施建设</w:t>
      </w:r>
      <w:r>
        <w:rPr>
          <w:rFonts w:hint="eastAsia" w:ascii="仿宋" w:hAnsi="仿宋" w:eastAsia="仿宋"/>
          <w:color w:val="auto"/>
          <w:szCs w:val="32"/>
          <w:highlight w:val="none"/>
          <w:lang w:eastAsia="zh-CN"/>
        </w:rPr>
        <w:t>。实施</w:t>
      </w:r>
      <w:r>
        <w:rPr>
          <w:rFonts w:hint="eastAsia" w:ascii="仿宋" w:hAnsi="仿宋" w:eastAsia="仿宋"/>
          <w:color w:val="auto"/>
          <w:szCs w:val="32"/>
          <w:highlight w:val="none"/>
        </w:rPr>
        <w:t>污水处理厂</w:t>
      </w:r>
      <w:r>
        <w:rPr>
          <w:rFonts w:hint="eastAsia" w:ascii="仿宋" w:hAnsi="仿宋" w:eastAsia="仿宋"/>
          <w:color w:val="auto"/>
          <w:szCs w:val="32"/>
          <w:highlight w:val="none"/>
          <w:lang w:eastAsia="zh-CN"/>
        </w:rPr>
        <w:t>扩能改造</w:t>
      </w:r>
      <w:r>
        <w:rPr>
          <w:rFonts w:hint="eastAsia" w:ascii="仿宋" w:hAnsi="仿宋" w:eastAsia="仿宋"/>
          <w:color w:val="auto"/>
          <w:szCs w:val="32"/>
          <w:highlight w:val="none"/>
        </w:rPr>
        <w:t>、新建污水管网、河道整治等举措。深入落实河长制，落实“一河一策”达标方案</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rPr>
        <w:t>依托排污许可证信息，建立“水体-排污口-排污管线一污染源”全链条管理的水污染物排放治理体系。</w:t>
      </w:r>
    </w:p>
    <w:p>
      <w:pPr>
        <w:pStyle w:val="23"/>
        <w:spacing w:line="600" w:lineRule="exact"/>
        <w:ind w:firstLine="640"/>
        <w:rPr>
          <w:rFonts w:hint="eastAsia" w:ascii="仿宋" w:hAnsi="仿宋" w:eastAsia="仿宋"/>
          <w:color w:val="auto"/>
          <w:szCs w:val="32"/>
          <w:highlight w:val="none"/>
        </w:rPr>
      </w:pPr>
      <w:r>
        <w:rPr>
          <w:rFonts w:hint="eastAsia" w:ascii="楷体" w:hAnsi="楷体" w:eastAsia="楷体"/>
          <w:bCs/>
          <w:color w:val="auto"/>
          <w:szCs w:val="32"/>
          <w:highlight w:val="none"/>
        </w:rPr>
        <w:t>2.深化黑臭水体整治。</w:t>
      </w:r>
      <w:r>
        <w:rPr>
          <w:rFonts w:hint="eastAsia" w:ascii="仿宋" w:hAnsi="仿宋" w:eastAsia="仿宋"/>
          <w:color w:val="auto"/>
          <w:szCs w:val="32"/>
          <w:highlight w:val="none"/>
          <w:lang w:val="en-US" w:eastAsia="zh-CN"/>
        </w:rPr>
        <w:t>持续开展城市建成区内黑臭水体整治成效检查，定期实施交叉监测。</w:t>
      </w:r>
      <w:r>
        <w:rPr>
          <w:rFonts w:hint="eastAsia" w:ascii="仿宋" w:hAnsi="仿宋" w:eastAsia="仿宋"/>
          <w:b w:val="0"/>
          <w:bCs w:val="0"/>
          <w:color w:val="auto"/>
          <w:sz w:val="32"/>
          <w:szCs w:val="32"/>
          <w:highlight w:val="none"/>
          <w:lang w:eastAsia="zh-CN"/>
        </w:rPr>
        <w:t>建立水体长效管理机制，确保整治后的水体不返黑返臭。</w:t>
      </w:r>
      <w:r>
        <w:rPr>
          <w:rFonts w:hint="eastAsia" w:ascii="仿宋" w:hAnsi="仿宋" w:eastAsia="仿宋"/>
          <w:color w:val="auto"/>
          <w:szCs w:val="32"/>
          <w:highlight w:val="none"/>
        </w:rPr>
        <w:t>巩固城市黑臭水体治理成果，到2025年，努力实现长治久清。</w:t>
      </w:r>
    </w:p>
    <w:p>
      <w:pPr>
        <w:pStyle w:val="23"/>
        <w:spacing w:line="600" w:lineRule="exact"/>
        <w:ind w:firstLine="640"/>
        <w:rPr>
          <w:rFonts w:hint="default" w:ascii="楷体" w:hAnsi="楷体" w:eastAsia="楷体"/>
          <w:bCs/>
          <w:color w:val="auto"/>
          <w:szCs w:val="32"/>
          <w:highlight w:val="none"/>
          <w:lang w:val="en-US" w:eastAsia="zh-CN"/>
        </w:rPr>
      </w:pPr>
      <w:r>
        <w:rPr>
          <w:rFonts w:hint="eastAsia" w:ascii="楷体" w:hAnsi="楷体" w:eastAsia="楷体"/>
          <w:bCs/>
          <w:color w:val="auto"/>
          <w:szCs w:val="32"/>
          <w:highlight w:val="none"/>
          <w:lang w:val="en-US" w:eastAsia="zh-CN"/>
        </w:rPr>
        <w:t>3.落实入河排污口整治和规范化建设。</w:t>
      </w:r>
      <w:r>
        <w:rPr>
          <w:rFonts w:hint="eastAsia" w:ascii="仿宋" w:hAnsi="仿宋" w:eastAsia="仿宋"/>
          <w:color w:val="auto"/>
          <w:szCs w:val="32"/>
          <w:highlight w:val="none"/>
          <w:lang w:val="en-US" w:eastAsia="zh-CN"/>
        </w:rPr>
        <w:t>按照“查、测、溯、治”的工作步骤和要求，在排污口排查的基础上，形成入河排污口台账；对排查、监测过程中发现排污问题突出的排污口进行溯源，查清排污单位，厘清排污责任；按照“封堵一批、规范一批、治理一批”的原则，分阶段开展重污染河流排污口整治和规范化建设，封堵、取缔违法入河排污口，到2025年，基本完成全市入河排污口整治。</w:t>
      </w:r>
    </w:p>
    <w:p>
      <w:pPr>
        <w:pStyle w:val="23"/>
        <w:spacing w:line="600" w:lineRule="exact"/>
        <w:ind w:firstLine="640"/>
        <w:rPr>
          <w:rFonts w:hint="eastAsia" w:ascii="仿宋" w:hAnsi="仿宋" w:eastAsia="仿宋"/>
          <w:color w:val="auto"/>
          <w:szCs w:val="32"/>
          <w:highlight w:val="none"/>
        </w:rPr>
      </w:pPr>
      <w:r>
        <w:rPr>
          <w:rFonts w:hint="eastAsia" w:ascii="楷体" w:hAnsi="楷体" w:eastAsia="楷体"/>
          <w:bCs/>
          <w:color w:val="auto"/>
          <w:szCs w:val="32"/>
          <w:highlight w:val="none"/>
          <w:lang w:val="en-US" w:eastAsia="zh-CN"/>
        </w:rPr>
        <w:t>4</w:t>
      </w:r>
      <w:r>
        <w:rPr>
          <w:rFonts w:hint="eastAsia" w:ascii="楷体" w:hAnsi="楷体" w:eastAsia="楷体"/>
          <w:bCs/>
          <w:color w:val="auto"/>
          <w:szCs w:val="32"/>
          <w:highlight w:val="none"/>
        </w:rPr>
        <w:t>.提升城镇生活污水治理能力。</w:t>
      </w:r>
      <w:r>
        <w:rPr>
          <w:rFonts w:hint="eastAsia" w:ascii="仿宋" w:hAnsi="仿宋" w:eastAsia="仿宋"/>
          <w:color w:val="auto"/>
          <w:szCs w:val="32"/>
          <w:highlight w:val="none"/>
        </w:rPr>
        <w:t>加快城镇污水处理设施建设和改造，进一步完善城区污水管网体系，提高城镇生活污水的收集率和处理率。实施城市雨污分流工程及城市内涝治理系统工程，对破损、错接、混接的污水管网实施改造。强化城镇污水处理监管，新建城镇污水处理设施达到一级</w:t>
      </w:r>
      <w:r>
        <w:rPr>
          <w:rFonts w:ascii="仿宋" w:hAnsi="仿宋" w:eastAsia="仿宋"/>
          <w:color w:val="auto"/>
          <w:szCs w:val="32"/>
          <w:highlight w:val="none"/>
        </w:rPr>
        <w:t>A</w:t>
      </w:r>
      <w:r>
        <w:rPr>
          <w:rFonts w:hint="eastAsia" w:ascii="仿宋" w:hAnsi="仿宋" w:eastAsia="仿宋"/>
          <w:color w:val="auto"/>
          <w:szCs w:val="32"/>
          <w:highlight w:val="none"/>
        </w:rPr>
        <w:t>排放标准。</w:t>
      </w:r>
      <w:r>
        <w:rPr>
          <w:rFonts w:hint="eastAsia" w:ascii="仿宋" w:hAnsi="仿宋" w:eastAsia="仿宋"/>
          <w:color w:val="auto"/>
          <w:szCs w:val="32"/>
          <w:highlight w:val="none"/>
          <w:lang w:val="zh-TW"/>
        </w:rPr>
        <w:t>对三宝屯污水处理厂进行扩建，扩容新增污水处理规模10万吨/天，达到日处理规模50万吨/天，使污水处理量能满足未来需求，使处理后排放更加稳定在一级A标准。</w:t>
      </w:r>
      <w:r>
        <w:rPr>
          <w:rFonts w:hint="eastAsia" w:ascii="仿宋" w:hAnsi="仿宋" w:eastAsia="仿宋"/>
          <w:color w:val="auto"/>
          <w:szCs w:val="32"/>
          <w:highlight w:val="none"/>
          <w:lang w:val="en-US" w:eastAsia="zh-CN"/>
        </w:rPr>
        <w:t>到2025年底，</w:t>
      </w:r>
      <w:r>
        <w:rPr>
          <w:rFonts w:hint="eastAsia" w:ascii="仿宋" w:hAnsi="仿宋" w:eastAsia="仿宋"/>
          <w:color w:val="auto"/>
          <w:szCs w:val="32"/>
          <w:highlight w:val="none"/>
        </w:rPr>
        <w:t>力争</w:t>
      </w:r>
      <w:r>
        <w:rPr>
          <w:rFonts w:hint="eastAsia" w:ascii="仿宋" w:hAnsi="仿宋" w:eastAsia="仿宋"/>
          <w:color w:val="auto"/>
          <w:szCs w:val="32"/>
          <w:highlight w:val="none"/>
          <w:lang w:val="zh-TW" w:eastAsia="zh-TW"/>
        </w:rPr>
        <w:t>全市城镇污水处理率达到95%以上</w:t>
      </w:r>
      <w:r>
        <w:rPr>
          <w:rFonts w:hint="eastAsia" w:ascii="仿宋" w:hAnsi="仿宋" w:eastAsia="仿宋"/>
          <w:color w:val="auto"/>
          <w:szCs w:val="32"/>
          <w:highlight w:val="none"/>
          <w:lang w:val="zh-TW"/>
        </w:rPr>
        <w:t>，完成省定污水集中治理目标要求。</w:t>
      </w:r>
      <w:r>
        <w:rPr>
          <w:rFonts w:hint="eastAsia" w:ascii="仿宋" w:hAnsi="仿宋" w:eastAsia="仿宋"/>
          <w:color w:val="auto"/>
          <w:szCs w:val="32"/>
          <w:highlight w:val="none"/>
        </w:rPr>
        <w:t>加大污泥处理处置力度，提高污泥稳定化、无害化和资源化处置水平，加强污泥产生、运输及处理处置的全过程监管，杜绝二次污染，</w:t>
      </w:r>
      <w:r>
        <w:rPr>
          <w:rFonts w:hint="eastAsia" w:ascii="仿宋" w:hAnsi="仿宋" w:eastAsia="仿宋"/>
          <w:color w:val="auto"/>
          <w:szCs w:val="32"/>
          <w:highlight w:val="none"/>
          <w:lang w:val="en-US" w:eastAsia="zh-CN"/>
        </w:rPr>
        <w:t>到2025年底，</w:t>
      </w:r>
      <w:r>
        <w:rPr>
          <w:rFonts w:hint="eastAsia" w:ascii="仿宋" w:hAnsi="仿宋" w:eastAsia="仿宋"/>
          <w:color w:val="auto"/>
          <w:szCs w:val="32"/>
          <w:highlight w:val="none"/>
        </w:rPr>
        <w:t>力争城市污泥无害化处理率处置率达到</w:t>
      </w:r>
      <w:r>
        <w:rPr>
          <w:rFonts w:ascii="仿宋" w:hAnsi="仿宋" w:eastAsia="仿宋"/>
          <w:color w:val="auto"/>
          <w:szCs w:val="32"/>
          <w:highlight w:val="none"/>
        </w:rPr>
        <w:t>90%</w:t>
      </w:r>
      <w:r>
        <w:rPr>
          <w:rFonts w:hint="eastAsia" w:ascii="仿宋" w:hAnsi="仿宋" w:eastAsia="仿宋"/>
          <w:color w:val="auto"/>
          <w:szCs w:val="32"/>
          <w:highlight w:val="none"/>
        </w:rPr>
        <w:t>以上。</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lang w:val="en-US" w:eastAsia="zh-CN"/>
        </w:rPr>
        <w:t>5</w:t>
      </w:r>
      <w:r>
        <w:rPr>
          <w:rFonts w:hint="eastAsia" w:ascii="楷体" w:hAnsi="楷体" w:eastAsia="楷体"/>
          <w:bCs/>
          <w:color w:val="auto"/>
          <w:szCs w:val="32"/>
          <w:highlight w:val="none"/>
        </w:rPr>
        <w:t>.强化工业污染防治。</w:t>
      </w:r>
      <w:r>
        <w:rPr>
          <w:rFonts w:hint="eastAsia" w:ascii="仿宋" w:hAnsi="仿宋" w:eastAsia="仿宋"/>
          <w:color w:val="auto"/>
          <w:szCs w:val="32"/>
          <w:highlight w:val="none"/>
        </w:rPr>
        <w:t>以钢铁、水泥、有色、化工行业为污染防治切入点，重点强化小型工业企业污染防治，实施清洁化改造。持续加强抚顺高新技术产业开发区、抚顺胜利经济开发区、抚顺望花经济开发区、抚顺顺城经济开发区等污水处理的监管，新建或改造污水处理设施，增加自动在线监控装置，不断提升污水处理能力和水平。强化排污许可证管理，禁止无证排污或不按许可证规定排污。</w:t>
      </w:r>
    </w:p>
    <w:p>
      <w:pPr>
        <w:pStyle w:val="23"/>
        <w:spacing w:line="600" w:lineRule="exact"/>
        <w:ind w:firstLine="640"/>
        <w:rPr>
          <w:rFonts w:hint="eastAsia" w:ascii="仿宋" w:hAnsi="仿宋" w:eastAsia="仿宋"/>
          <w:color w:val="auto"/>
          <w:szCs w:val="32"/>
          <w:highlight w:val="none"/>
          <w:lang w:val="en-US" w:eastAsia="zh-CN"/>
        </w:rPr>
      </w:pPr>
      <w:r>
        <w:rPr>
          <w:rFonts w:hint="eastAsia" w:ascii="楷体" w:hAnsi="楷体" w:eastAsia="楷体"/>
          <w:bCs/>
          <w:color w:val="auto"/>
          <w:szCs w:val="32"/>
          <w:highlight w:val="none"/>
          <w:lang w:val="en-US" w:eastAsia="zh-CN"/>
        </w:rPr>
        <w:t>6</w:t>
      </w:r>
      <w:r>
        <w:rPr>
          <w:rFonts w:hint="eastAsia" w:ascii="楷体" w:hAnsi="楷体" w:eastAsia="楷体"/>
          <w:bCs/>
          <w:color w:val="auto"/>
          <w:szCs w:val="32"/>
          <w:highlight w:val="none"/>
        </w:rPr>
        <w:t>.</w:t>
      </w:r>
      <w:r>
        <w:rPr>
          <w:rFonts w:hint="eastAsia" w:ascii="楷体" w:hAnsi="楷体" w:eastAsia="楷体"/>
          <w:bCs/>
          <w:color w:val="auto"/>
          <w:szCs w:val="32"/>
          <w:highlight w:val="none"/>
          <w:lang w:val="en-US" w:eastAsia="zh-CN"/>
        </w:rPr>
        <w:t>推进水生态智慧管理</w:t>
      </w:r>
      <w:r>
        <w:rPr>
          <w:rFonts w:hint="eastAsia" w:ascii="楷体" w:hAnsi="楷体" w:eastAsia="楷体"/>
          <w:bCs/>
          <w:color w:val="auto"/>
          <w:szCs w:val="32"/>
          <w:highlight w:val="none"/>
        </w:rPr>
        <w:t>。</w:t>
      </w:r>
      <w:r>
        <w:rPr>
          <w:rFonts w:hint="eastAsia" w:ascii="仿宋" w:hAnsi="仿宋" w:eastAsia="仿宋"/>
          <w:color w:val="auto"/>
          <w:szCs w:val="32"/>
          <w:highlight w:val="none"/>
          <w:lang w:val="en-US" w:eastAsia="zh-CN"/>
        </w:rPr>
        <w:t>地表水环境监测断面扩展至三级以下支流。织密水质自动监测网，基本实现国控断面及重点省控断面水质自动监测全覆盖。逐步补齐入河排污口、农村生活污水排放监控短板。建立智能管理系统，科学评估水资源、水生态、水环境等变化趋势，研判水环境承载力，实现主要污染物溯源，建立预警预报体系。</w:t>
      </w:r>
    </w:p>
    <w:p>
      <w:pPr>
        <w:pStyle w:val="23"/>
        <w:spacing w:line="600" w:lineRule="exact"/>
        <w:ind w:firstLine="640"/>
        <w:rPr>
          <w:rFonts w:hint="eastAsia" w:ascii="仿宋" w:hAnsi="仿宋" w:eastAsia="仿宋"/>
          <w:color w:val="auto"/>
          <w:szCs w:val="32"/>
          <w:highlight w:val="none"/>
          <w:lang w:val="en-US" w:eastAsia="zh-CN"/>
        </w:rPr>
      </w:pPr>
      <w:r>
        <w:rPr>
          <w:rFonts w:hint="eastAsia" w:ascii="楷体" w:hAnsi="楷体" w:eastAsia="楷体"/>
          <w:bCs/>
          <w:color w:val="auto"/>
          <w:szCs w:val="32"/>
          <w:highlight w:val="none"/>
          <w:lang w:val="en-US" w:eastAsia="zh-CN"/>
        </w:rPr>
        <w:t>7.加强水资源综合利用。</w:t>
      </w:r>
      <w:r>
        <w:rPr>
          <w:rFonts w:hint="eastAsia" w:ascii="仿宋" w:hAnsi="仿宋" w:eastAsia="仿宋"/>
          <w:color w:val="auto"/>
          <w:szCs w:val="32"/>
          <w:highlight w:val="none"/>
          <w:lang w:val="en-US" w:eastAsia="zh-CN"/>
        </w:rPr>
        <w:t>保障河湖生态流量。适时制定流域河流水量调度方案和调度计划，推动生态流量保障工程建设和运行管理，推进水资源和水环境监测数据共享。推动水库、闸坝联合调度和水系连通工程项目落实。支持浑河沿线配水站为河流补充生态用水，推动重要河流被挤占的河湖生态用水逐步得到退还。到2025年底前，省重点河流生态流量管理措施有效落实。推进区域再生水循环利用。推动节水重点工程建设，积极开发利用再生水、污水处理厂中水等多样水源。推动建设污染治理、循环利用、生态保护有机结合的综合治理体系。建设人工湿地水质净化等生态设施，对处理达标后的尾水和微污染河水进一步净化改善后，作为区域内生态、生产和生活补充用水，纳入区域水资源调配管理体系。推进海绵城市建设和雨水回收利用，努力缓解水资源紧张。</w:t>
      </w:r>
    </w:p>
    <w:tbl>
      <w:tblPr>
        <w:tblStyle w:val="24"/>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296" w:type="dxa"/>
          </w:tcPr>
          <w:p>
            <w:pPr>
              <w:pStyle w:val="23"/>
              <w:spacing w:line="600" w:lineRule="exact"/>
              <w:ind w:firstLine="0" w:firstLineChars="0"/>
              <w:jc w:val="center"/>
              <w:rPr>
                <w:rFonts w:ascii="楷体" w:hAnsi="楷体" w:eastAsia="楷体"/>
                <w:color w:val="auto"/>
                <w:sz w:val="28"/>
                <w:szCs w:val="28"/>
                <w:highlight w:val="none"/>
              </w:rPr>
            </w:pPr>
            <w:r>
              <w:rPr>
                <w:rFonts w:hint="eastAsia" w:ascii="楷体" w:hAnsi="楷体" w:eastAsia="楷体" w:cs="仿宋"/>
                <w:b/>
                <w:bCs/>
                <w:color w:val="auto"/>
                <w:sz w:val="28"/>
                <w:szCs w:val="28"/>
                <w:highlight w:val="none"/>
              </w:rPr>
              <w:t>专栏2：提升水生态环境重点项目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6" w:type="dxa"/>
          </w:tcPr>
          <w:p>
            <w:pPr>
              <w:numPr>
                <w:ilvl w:val="0"/>
                <w:numId w:val="4"/>
              </w:numPr>
              <w:spacing w:line="400" w:lineRule="exact"/>
              <w:ind w:left="283" w:leftChars="0" w:hanging="283" w:firstLineChars="0"/>
              <w:jc w:val="left"/>
              <w:rPr>
                <w:rFonts w:hint="eastAsia"/>
                <w:lang w:val="en-US" w:eastAsia="zh-CN"/>
              </w:rPr>
            </w:pPr>
            <w:r>
              <w:rPr>
                <w:rFonts w:hint="eastAsia"/>
                <w:lang w:val="en-US" w:eastAsia="zh-CN"/>
              </w:rPr>
              <w:t>管网排查工作及建立GIS系统</w:t>
            </w:r>
          </w:p>
          <w:p>
            <w:pPr>
              <w:numPr>
                <w:ilvl w:val="0"/>
                <w:numId w:val="4"/>
              </w:numPr>
              <w:spacing w:line="400" w:lineRule="exact"/>
              <w:ind w:left="283" w:leftChars="0" w:hanging="283" w:firstLineChars="0"/>
              <w:jc w:val="left"/>
              <w:rPr>
                <w:rFonts w:hint="eastAsia"/>
                <w:lang w:val="en-US" w:eastAsia="zh-CN"/>
              </w:rPr>
            </w:pPr>
            <w:r>
              <w:rPr>
                <w:rFonts w:hint="eastAsia"/>
                <w:lang w:val="en-US" w:eastAsia="zh-CN"/>
              </w:rPr>
              <w:t>城中村、老旧小区和城乡结合部生活污水集中收集处理设施</w:t>
            </w:r>
          </w:p>
          <w:p>
            <w:pPr>
              <w:numPr>
                <w:ilvl w:val="0"/>
                <w:numId w:val="4"/>
              </w:numPr>
              <w:spacing w:line="400" w:lineRule="exact"/>
              <w:ind w:left="283" w:leftChars="0" w:hanging="283" w:firstLineChars="0"/>
              <w:jc w:val="left"/>
              <w:rPr>
                <w:rFonts w:hint="eastAsia"/>
                <w:lang w:val="en-US" w:eastAsia="zh-CN"/>
              </w:rPr>
            </w:pPr>
            <w:r>
              <w:rPr>
                <w:rFonts w:hint="eastAsia"/>
                <w:lang w:val="en-US" w:eastAsia="zh-CN"/>
              </w:rPr>
              <w:t>清原镇垃圾填埋场提标改造工程</w:t>
            </w:r>
          </w:p>
          <w:p>
            <w:pPr>
              <w:numPr>
                <w:ilvl w:val="0"/>
                <w:numId w:val="4"/>
              </w:numPr>
              <w:spacing w:line="400" w:lineRule="exact"/>
              <w:ind w:left="283" w:leftChars="0" w:hanging="283" w:firstLineChars="0"/>
              <w:jc w:val="left"/>
              <w:rPr>
                <w:rFonts w:hint="eastAsia"/>
                <w:lang w:val="en-US" w:eastAsia="zh-CN"/>
              </w:rPr>
            </w:pPr>
            <w:r>
              <w:rPr>
                <w:rFonts w:hint="eastAsia"/>
                <w:lang w:val="en-US" w:eastAsia="zh-CN"/>
              </w:rPr>
              <w:t>清原县红河水库水源地治理项目</w:t>
            </w:r>
          </w:p>
          <w:p>
            <w:pPr>
              <w:numPr>
                <w:ilvl w:val="0"/>
                <w:numId w:val="4"/>
              </w:numPr>
              <w:spacing w:line="400" w:lineRule="exact"/>
              <w:ind w:left="283" w:leftChars="0" w:hanging="283" w:firstLineChars="0"/>
              <w:jc w:val="left"/>
              <w:rPr>
                <w:rFonts w:hint="default"/>
                <w:lang w:val="en-US" w:eastAsia="zh-CN"/>
              </w:rPr>
            </w:pPr>
            <w:r>
              <w:rPr>
                <w:rFonts w:hint="eastAsia"/>
                <w:lang w:val="en-US" w:eastAsia="zh-CN"/>
              </w:rPr>
              <w:t>浑河南支（新宾县）水利提升工程</w:t>
            </w:r>
          </w:p>
          <w:p>
            <w:pPr>
              <w:numPr>
                <w:ilvl w:val="0"/>
                <w:numId w:val="4"/>
              </w:numPr>
              <w:spacing w:line="400" w:lineRule="exact"/>
              <w:ind w:left="283" w:leftChars="0" w:hanging="283" w:firstLineChars="0"/>
              <w:jc w:val="left"/>
              <w:rPr>
                <w:rFonts w:hint="default"/>
                <w:lang w:val="en-US" w:eastAsia="zh-CN"/>
              </w:rPr>
            </w:pPr>
            <w:r>
              <w:rPr>
                <w:rFonts w:hint="eastAsia"/>
                <w:lang w:val="en-US" w:eastAsia="zh-CN"/>
              </w:rPr>
              <w:t>新宾镇垃圾填埋场填埋坝体加固及渗滤液全量化处理设备项目</w:t>
            </w:r>
          </w:p>
          <w:p>
            <w:pPr>
              <w:numPr>
                <w:ilvl w:val="0"/>
                <w:numId w:val="4"/>
              </w:numPr>
              <w:spacing w:line="400" w:lineRule="exact"/>
              <w:ind w:left="283" w:leftChars="0" w:hanging="283" w:firstLineChars="0"/>
              <w:jc w:val="left"/>
              <w:rPr>
                <w:rFonts w:hint="default"/>
                <w:lang w:val="en-US" w:eastAsia="zh-CN"/>
              </w:rPr>
            </w:pPr>
            <w:r>
              <w:rPr>
                <w:rFonts w:hint="eastAsia"/>
                <w:lang w:val="en-US" w:eastAsia="zh-CN"/>
              </w:rPr>
              <w:t>新宾镇雨污分流改造项目</w:t>
            </w:r>
          </w:p>
          <w:p>
            <w:pPr>
              <w:numPr>
                <w:ilvl w:val="0"/>
                <w:numId w:val="4"/>
              </w:numPr>
              <w:spacing w:line="400" w:lineRule="exact"/>
              <w:ind w:left="283" w:leftChars="0" w:hanging="283" w:firstLineChars="0"/>
              <w:jc w:val="left"/>
              <w:rPr>
                <w:rFonts w:hint="default"/>
                <w:lang w:val="en-US" w:eastAsia="zh-CN"/>
              </w:rPr>
            </w:pPr>
            <w:r>
              <w:rPr>
                <w:rFonts w:hint="eastAsia"/>
                <w:lang w:val="en-US" w:eastAsia="zh-CN"/>
              </w:rPr>
              <w:t>榆树乡工业园区给水管网、排水管网、污水处理厂项目</w:t>
            </w:r>
          </w:p>
          <w:p>
            <w:pPr>
              <w:numPr>
                <w:ilvl w:val="0"/>
                <w:numId w:val="4"/>
              </w:numPr>
              <w:spacing w:line="400" w:lineRule="exact"/>
              <w:ind w:left="283" w:leftChars="0" w:hanging="283" w:firstLineChars="0"/>
              <w:jc w:val="left"/>
              <w:rPr>
                <w:rFonts w:hint="default"/>
                <w:lang w:val="en-US" w:eastAsia="zh-CN"/>
              </w:rPr>
            </w:pPr>
            <w:r>
              <w:rPr>
                <w:rFonts w:hint="eastAsia"/>
                <w:lang w:val="en-US" w:eastAsia="zh-CN"/>
              </w:rPr>
              <w:t>新宾满族自治县富尔江东江沿国控断面围栏工程</w:t>
            </w:r>
          </w:p>
          <w:p>
            <w:pPr>
              <w:numPr>
                <w:ilvl w:val="0"/>
                <w:numId w:val="4"/>
              </w:numPr>
              <w:spacing w:line="400" w:lineRule="exact"/>
              <w:ind w:left="283" w:leftChars="0" w:hanging="283" w:firstLineChars="0"/>
              <w:jc w:val="left"/>
              <w:rPr>
                <w:rFonts w:hint="default"/>
                <w:lang w:val="en-US" w:eastAsia="zh-CN"/>
              </w:rPr>
            </w:pPr>
            <w:r>
              <w:rPr>
                <w:rFonts w:hint="eastAsia"/>
                <w:lang w:val="en-US" w:eastAsia="zh-CN"/>
              </w:rPr>
              <w:t>抚顺县社河（腰堡水库-大伙房水库入河口段）河道治理工程</w:t>
            </w:r>
          </w:p>
          <w:p>
            <w:pPr>
              <w:numPr>
                <w:ilvl w:val="0"/>
                <w:numId w:val="4"/>
              </w:numPr>
              <w:spacing w:line="400" w:lineRule="exact"/>
              <w:ind w:left="283" w:leftChars="0" w:hanging="283" w:firstLineChars="0"/>
              <w:jc w:val="left"/>
              <w:rPr>
                <w:rFonts w:hint="default"/>
                <w:lang w:val="en-US" w:eastAsia="zh-CN"/>
              </w:rPr>
            </w:pPr>
            <w:r>
              <w:rPr>
                <w:rFonts w:hint="eastAsia"/>
                <w:lang w:val="en-US" w:eastAsia="zh-CN"/>
              </w:rPr>
              <w:t>清原县清源镇污水处理厂扩能改造及管网改造工程</w:t>
            </w:r>
          </w:p>
          <w:p>
            <w:pPr>
              <w:numPr>
                <w:ilvl w:val="0"/>
                <w:numId w:val="4"/>
              </w:numPr>
              <w:spacing w:line="400" w:lineRule="exact"/>
              <w:ind w:left="283" w:leftChars="0" w:hanging="283" w:firstLineChars="0"/>
              <w:jc w:val="left"/>
              <w:rPr>
                <w:rFonts w:hint="default"/>
                <w:lang w:val="en-US" w:eastAsia="zh-CN"/>
              </w:rPr>
            </w:pPr>
            <w:r>
              <w:rPr>
                <w:rFonts w:hint="eastAsia"/>
                <w:lang w:val="en-US" w:eastAsia="zh-CN"/>
              </w:rPr>
              <w:t>抚顺市东洲区青草沟污水集中处理设施项目</w:t>
            </w:r>
          </w:p>
          <w:p>
            <w:pPr>
              <w:numPr>
                <w:ilvl w:val="0"/>
                <w:numId w:val="4"/>
              </w:numPr>
              <w:spacing w:line="400" w:lineRule="exact"/>
              <w:ind w:left="283" w:leftChars="0" w:hanging="283" w:firstLineChars="0"/>
              <w:jc w:val="left"/>
              <w:rPr>
                <w:rFonts w:hint="default"/>
                <w:lang w:val="en-US" w:eastAsia="zh-CN"/>
              </w:rPr>
            </w:pPr>
            <w:r>
              <w:rPr>
                <w:rFonts w:hint="eastAsia"/>
                <w:lang w:val="en-US" w:eastAsia="zh-CN"/>
              </w:rPr>
              <w:t>演武生活垃圾填埋场渗滤液收集管线及收集池</w:t>
            </w:r>
          </w:p>
          <w:p>
            <w:pPr>
              <w:numPr>
                <w:ilvl w:val="0"/>
                <w:numId w:val="4"/>
              </w:numPr>
              <w:spacing w:line="400" w:lineRule="exact"/>
              <w:ind w:left="283" w:leftChars="0" w:hanging="283" w:firstLineChars="0"/>
              <w:jc w:val="left"/>
              <w:rPr>
                <w:rFonts w:hint="default"/>
                <w:lang w:val="en-US" w:eastAsia="zh-CN"/>
              </w:rPr>
            </w:pPr>
            <w:r>
              <w:rPr>
                <w:rFonts w:hint="eastAsia"/>
                <w:lang w:val="en-US" w:eastAsia="zh-CN"/>
              </w:rPr>
              <w:t>新宾满族自治县红升乡政府及医院污水处理建设项目</w:t>
            </w:r>
          </w:p>
          <w:p>
            <w:pPr>
              <w:numPr>
                <w:ilvl w:val="0"/>
                <w:numId w:val="4"/>
              </w:numPr>
              <w:spacing w:line="400" w:lineRule="exact"/>
              <w:ind w:left="283" w:leftChars="0" w:hanging="283" w:firstLineChars="0"/>
              <w:jc w:val="left"/>
              <w:rPr>
                <w:rFonts w:hint="default"/>
                <w:lang w:val="en-US" w:eastAsia="zh-CN"/>
              </w:rPr>
            </w:pPr>
            <w:r>
              <w:rPr>
                <w:rFonts w:hint="eastAsia"/>
                <w:lang w:val="en-US" w:eastAsia="zh-CN"/>
              </w:rPr>
              <w:t>新宾满族自治县上夹河镇、木奇镇、下夹河乡污水处理厂原址重建项目</w:t>
            </w:r>
          </w:p>
          <w:p>
            <w:pPr>
              <w:numPr>
                <w:ilvl w:val="0"/>
                <w:numId w:val="4"/>
              </w:numPr>
              <w:spacing w:line="400" w:lineRule="exact"/>
              <w:ind w:left="283" w:leftChars="0" w:hanging="283" w:firstLineChars="0"/>
              <w:jc w:val="left"/>
              <w:rPr>
                <w:rFonts w:hint="default"/>
                <w:lang w:val="en-US" w:eastAsia="zh-CN"/>
              </w:rPr>
            </w:pPr>
            <w:r>
              <w:rPr>
                <w:rFonts w:hint="eastAsia"/>
                <w:lang w:val="en-US" w:eastAsia="zh-CN"/>
              </w:rPr>
              <w:t>上夹河镇污水处理厂配套管网改造工程</w:t>
            </w:r>
          </w:p>
          <w:p>
            <w:pPr>
              <w:numPr>
                <w:ilvl w:val="0"/>
                <w:numId w:val="4"/>
              </w:numPr>
              <w:spacing w:line="400" w:lineRule="exact"/>
              <w:ind w:left="283" w:leftChars="0" w:hanging="283" w:firstLineChars="0"/>
              <w:jc w:val="left"/>
              <w:rPr>
                <w:rFonts w:hint="eastAsia"/>
                <w:lang w:val="en-US" w:eastAsia="zh-CN"/>
              </w:rPr>
            </w:pPr>
            <w:r>
              <w:rPr>
                <w:rFonts w:hint="eastAsia"/>
                <w:lang w:val="en-US" w:eastAsia="zh-CN"/>
              </w:rPr>
              <w:t>辉发河流域（南山城段）水环境治理项目</w:t>
            </w:r>
          </w:p>
          <w:p>
            <w:pPr>
              <w:numPr>
                <w:ilvl w:val="0"/>
                <w:numId w:val="4"/>
              </w:numPr>
              <w:spacing w:line="400" w:lineRule="exact"/>
              <w:ind w:left="283" w:leftChars="0" w:hanging="283" w:firstLineChars="0"/>
              <w:jc w:val="left"/>
              <w:rPr>
                <w:rFonts w:hint="default"/>
                <w:lang w:val="en-US" w:eastAsia="zh-CN"/>
              </w:rPr>
            </w:pPr>
            <w:r>
              <w:rPr>
                <w:rFonts w:hint="eastAsia"/>
                <w:lang w:val="en-US" w:eastAsia="zh-CN"/>
              </w:rPr>
              <w:t>抚顺市清原满族自治县县城管网及道路建设工程</w:t>
            </w:r>
          </w:p>
          <w:p>
            <w:pPr>
              <w:numPr>
                <w:ilvl w:val="0"/>
                <w:numId w:val="4"/>
              </w:numPr>
              <w:spacing w:line="400" w:lineRule="exact"/>
              <w:ind w:left="283" w:leftChars="0" w:hanging="283" w:firstLineChars="0"/>
              <w:jc w:val="left"/>
              <w:rPr>
                <w:rFonts w:hint="default"/>
                <w:lang w:val="en-US" w:eastAsia="zh-CN"/>
              </w:rPr>
            </w:pPr>
            <w:r>
              <w:rPr>
                <w:rFonts w:hint="eastAsia"/>
                <w:lang w:val="en-US" w:eastAsia="zh-CN"/>
              </w:rPr>
              <w:t>清原满族自治县生活垃圾卫生填埋场提标改造工程</w:t>
            </w:r>
          </w:p>
          <w:p>
            <w:pPr>
              <w:numPr>
                <w:ilvl w:val="0"/>
                <w:numId w:val="4"/>
              </w:numPr>
              <w:spacing w:line="400" w:lineRule="exact"/>
              <w:ind w:left="283" w:leftChars="0" w:hanging="283" w:firstLineChars="0"/>
              <w:jc w:val="left"/>
              <w:rPr>
                <w:rFonts w:hint="default"/>
                <w:lang w:val="en-US" w:eastAsia="zh-CN"/>
              </w:rPr>
            </w:pPr>
            <w:r>
              <w:rPr>
                <w:rFonts w:hint="eastAsia"/>
                <w:lang w:val="en-US" w:eastAsia="zh-CN"/>
              </w:rPr>
              <w:t>东洲区生活污水收集处理设施项目（一期）</w:t>
            </w:r>
          </w:p>
          <w:p>
            <w:pPr>
              <w:numPr>
                <w:ilvl w:val="0"/>
                <w:numId w:val="4"/>
              </w:numPr>
              <w:spacing w:line="400" w:lineRule="exact"/>
              <w:ind w:left="283" w:leftChars="0" w:hanging="283" w:firstLineChars="0"/>
              <w:jc w:val="left"/>
              <w:rPr>
                <w:rFonts w:hint="default"/>
                <w:lang w:val="en-US" w:eastAsia="zh-CN"/>
              </w:rPr>
            </w:pPr>
            <w:r>
              <w:rPr>
                <w:rFonts w:hint="eastAsia"/>
                <w:lang w:val="en-US" w:eastAsia="zh-CN"/>
              </w:rPr>
              <w:t>抚顺市污水设施改造建设项目</w:t>
            </w:r>
          </w:p>
        </w:tc>
      </w:tr>
    </w:tbl>
    <w:p>
      <w:pPr>
        <w:pStyle w:val="23"/>
        <w:spacing w:line="600" w:lineRule="exact"/>
        <w:ind w:firstLine="643"/>
        <w:outlineLvl w:val="1"/>
        <w:rPr>
          <w:rFonts w:asciiTheme="minorEastAsia" w:hAnsiTheme="minorEastAsia" w:eastAsiaTheme="minorEastAsia"/>
          <w:b/>
          <w:color w:val="auto"/>
          <w:szCs w:val="32"/>
          <w:highlight w:val="none"/>
          <w:shd w:val="clear" w:color="auto" w:fill="FFFFFF"/>
        </w:rPr>
      </w:pPr>
      <w:bookmarkStart w:id="25" w:name="_Toc19618"/>
      <w:bookmarkStart w:id="26" w:name="_Toc12540"/>
      <w:r>
        <w:rPr>
          <w:rFonts w:hint="eastAsia" w:asciiTheme="minorEastAsia" w:hAnsiTheme="minorEastAsia" w:eastAsiaTheme="minorEastAsia"/>
          <w:b/>
          <w:color w:val="auto"/>
          <w:szCs w:val="32"/>
          <w:highlight w:val="none"/>
          <w:shd w:val="clear" w:color="auto" w:fill="FFFFFF"/>
        </w:rPr>
        <w:t>（</w:t>
      </w:r>
      <w:r>
        <w:rPr>
          <w:rFonts w:hint="eastAsia" w:asciiTheme="minorEastAsia" w:hAnsiTheme="minorEastAsia" w:eastAsiaTheme="minorEastAsia"/>
          <w:b/>
          <w:color w:val="auto"/>
          <w:szCs w:val="32"/>
          <w:highlight w:val="none"/>
          <w:shd w:val="clear" w:color="auto" w:fill="FFFFFF"/>
          <w:lang w:val="en-US" w:eastAsia="zh-CN"/>
        </w:rPr>
        <w:t>三</w:t>
      </w:r>
      <w:r>
        <w:rPr>
          <w:rFonts w:hint="eastAsia" w:asciiTheme="minorEastAsia" w:hAnsiTheme="minorEastAsia" w:eastAsiaTheme="minorEastAsia"/>
          <w:b/>
          <w:color w:val="auto"/>
          <w:szCs w:val="32"/>
          <w:highlight w:val="none"/>
          <w:shd w:val="clear" w:color="auto" w:fill="FFFFFF"/>
        </w:rPr>
        <w:t>）加强土壤污染系统防控</w:t>
      </w:r>
      <w:bookmarkEnd w:id="25"/>
    </w:p>
    <w:p>
      <w:pPr>
        <w:pStyle w:val="23"/>
        <w:spacing w:line="600" w:lineRule="exact"/>
        <w:ind w:firstLine="640"/>
        <w:rPr>
          <w:rFonts w:ascii="仿宋" w:hAnsi="仿宋" w:eastAsia="仿宋"/>
          <w:color w:val="auto"/>
          <w:szCs w:val="32"/>
          <w:highlight w:val="none"/>
        </w:rPr>
      </w:pPr>
      <w:r>
        <w:rPr>
          <w:rFonts w:hint="eastAsia" w:ascii="仿宋" w:hAnsi="仿宋" w:eastAsia="仿宋"/>
          <w:color w:val="auto"/>
          <w:szCs w:val="32"/>
          <w:highlight w:val="none"/>
        </w:rPr>
        <w:t>坚持保护优先、预防为主、风险管控，突出精准治污、科学治污、依法治污，全面贯彻《土壤污染防治法》，以确保农产品质量安全、人居环境安全、地下水饮用水水源环境安全、逐步改善土壤环境质量为目标，深入实施保护、预防、管控、修复“四大”行动，加强空间布局管控，推进土壤安全利用。</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rPr>
        <w:t>1.加强空间布局管控。</w:t>
      </w:r>
      <w:r>
        <w:rPr>
          <w:rFonts w:hint="eastAsia" w:ascii="仿宋" w:hAnsi="仿宋" w:eastAsia="仿宋"/>
          <w:color w:val="auto"/>
          <w:szCs w:val="32"/>
          <w:highlight w:val="none"/>
        </w:rPr>
        <w:t>将土壤和地下水环境要求纳入国土空间规划，根据土壤污染状况和风险合理规划土地用途。永久基本农田集中区域禁止规划新建可能造成土壤污染的建设项目。新(改、扩)建涉及有毒有害物质可能造成土壤污染的建设项目，提出并落实土壤和地下水污染防治要求。</w:t>
      </w:r>
    </w:p>
    <w:p>
      <w:pPr>
        <w:pStyle w:val="23"/>
        <w:spacing w:line="600" w:lineRule="exact"/>
        <w:ind w:firstLine="640"/>
        <w:rPr>
          <w:rFonts w:hint="eastAsia" w:ascii="仿宋" w:hAnsi="仿宋" w:eastAsia="仿宋"/>
          <w:color w:val="auto"/>
          <w:szCs w:val="32"/>
          <w:highlight w:val="none"/>
        </w:rPr>
      </w:pPr>
      <w:r>
        <w:rPr>
          <w:rFonts w:hint="eastAsia" w:ascii="楷体" w:hAnsi="楷体" w:eastAsia="楷体"/>
          <w:bCs/>
          <w:color w:val="auto"/>
          <w:szCs w:val="32"/>
          <w:highlight w:val="none"/>
        </w:rPr>
        <w:t>2.加强耕地污染源头控制。</w:t>
      </w:r>
      <w:r>
        <w:rPr>
          <w:rFonts w:hint="eastAsia" w:ascii="仿宋" w:hAnsi="仿宋" w:eastAsia="仿宋"/>
          <w:color w:val="auto"/>
          <w:szCs w:val="32"/>
          <w:highlight w:val="none"/>
        </w:rPr>
        <w:t>严格重金属污染防控，解决一批影响土壤环境质量的水、大气等突出污染问题。严格涉重金属行业污染排放，聚焦有色金属采选、冶炼等重点行业支持企业绿色化提标改造，执行重点污染物排放限值。将涉镉等重金属行业企业纳入大气、水污染物重点排污单位名录，于2025年底前，</w:t>
      </w:r>
      <w:r>
        <w:rPr>
          <w:rFonts w:hint="eastAsia" w:ascii="仿宋" w:hAnsi="仿宋" w:eastAsia="仿宋"/>
          <w:color w:val="auto"/>
          <w:szCs w:val="32"/>
          <w:highlight w:val="none"/>
          <w:lang w:val="en-US" w:eastAsia="zh-CN"/>
        </w:rPr>
        <w:t>督促</w:t>
      </w:r>
      <w:r>
        <w:rPr>
          <w:rFonts w:hint="eastAsia" w:ascii="仿宋" w:hAnsi="仿宋" w:eastAsia="仿宋"/>
          <w:color w:val="auto"/>
          <w:szCs w:val="32"/>
          <w:highlight w:val="none"/>
        </w:rPr>
        <w:t>全部安装、使用水、大气污染物排放自动监测设备，对大气颗粒物排放、废水中镉等重金属实行自动监测。持续推进耕地周边涉镉等重金属行业企业排查整治，动态更新污染源排查整治清单。以矿产资源开发活动集中地区为重点，</w:t>
      </w:r>
      <w:r>
        <w:rPr>
          <w:rFonts w:hint="eastAsia" w:ascii="仿宋" w:hAnsi="仿宋" w:eastAsia="仿宋"/>
          <w:color w:val="auto"/>
          <w:szCs w:val="32"/>
          <w:highlight w:val="none"/>
          <w:lang w:val="en-US" w:eastAsia="zh-CN"/>
        </w:rPr>
        <w:t>探索</w:t>
      </w:r>
      <w:r>
        <w:rPr>
          <w:rFonts w:hint="eastAsia" w:ascii="仿宋" w:hAnsi="仿宋" w:eastAsia="仿宋"/>
          <w:color w:val="auto"/>
          <w:szCs w:val="32"/>
          <w:highlight w:val="none"/>
        </w:rPr>
        <w:t>综合应用卫星遥感、无人机和现场踏勘等方式，分阶段排查整治重有色金属矿区历史遗留环境污染。加强土壤污染重点监管单位环境监管，完成耕地周边涉镉等重金属行业企业污染源排查整治。</w:t>
      </w:r>
    </w:p>
    <w:p>
      <w:pPr>
        <w:pStyle w:val="23"/>
        <w:spacing w:line="600" w:lineRule="exact"/>
        <w:ind w:firstLine="640"/>
        <w:rPr>
          <w:rFonts w:hint="default" w:ascii="仿宋" w:hAnsi="仿宋" w:eastAsia="仿宋"/>
          <w:color w:val="auto"/>
          <w:szCs w:val="32"/>
          <w:highlight w:val="none"/>
          <w:lang w:val="en-US" w:eastAsia="zh-CN"/>
        </w:rPr>
      </w:pPr>
      <w:r>
        <w:rPr>
          <w:rFonts w:hint="eastAsia" w:ascii="楷体" w:hAnsi="楷体" w:eastAsia="楷体"/>
          <w:bCs/>
          <w:color w:val="auto"/>
          <w:szCs w:val="32"/>
          <w:highlight w:val="none"/>
          <w:lang w:val="en-US" w:eastAsia="zh-CN"/>
        </w:rPr>
        <w:t>3</w:t>
      </w:r>
      <w:r>
        <w:rPr>
          <w:rFonts w:hint="eastAsia" w:ascii="楷体" w:hAnsi="楷体" w:eastAsia="楷体"/>
          <w:bCs/>
          <w:color w:val="auto"/>
          <w:szCs w:val="32"/>
          <w:highlight w:val="none"/>
        </w:rPr>
        <w:t>.</w:t>
      </w:r>
      <w:r>
        <w:rPr>
          <w:rFonts w:hint="eastAsia" w:ascii="楷体" w:hAnsi="楷体" w:eastAsia="楷体"/>
          <w:bCs/>
          <w:color w:val="auto"/>
          <w:szCs w:val="32"/>
          <w:highlight w:val="none"/>
          <w:lang w:val="en-US" w:eastAsia="zh-CN"/>
        </w:rPr>
        <w:t>防范新增土壤污染。</w:t>
      </w:r>
      <w:r>
        <w:rPr>
          <w:rFonts w:hint="eastAsia" w:ascii="仿宋" w:hAnsi="仿宋" w:eastAsia="仿宋"/>
          <w:color w:val="auto"/>
          <w:szCs w:val="32"/>
          <w:highlight w:val="none"/>
          <w:lang w:val="en-US" w:eastAsia="zh-CN"/>
        </w:rPr>
        <w:t>结合重点行业企业用地详查成果，持续推进土壤重点监管单位名录。建立地下水重点污染源清单。定期对土壤污染重点监管单位和地下水重点污染源周边土壤、地下水开展监督性监测。督促企业定期开展土壤和地下水自行监测，污染隐患排查。</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lang w:val="en-US" w:eastAsia="zh-CN"/>
        </w:rPr>
        <w:t>4</w:t>
      </w:r>
      <w:r>
        <w:rPr>
          <w:rFonts w:hint="eastAsia" w:ascii="楷体" w:hAnsi="楷体" w:eastAsia="楷体"/>
          <w:bCs/>
          <w:color w:val="auto"/>
          <w:szCs w:val="32"/>
          <w:highlight w:val="none"/>
        </w:rPr>
        <w:t>.实施土壤污染预防行动。</w:t>
      </w:r>
      <w:r>
        <w:rPr>
          <w:rFonts w:hint="eastAsia" w:ascii="仿宋" w:hAnsi="仿宋" w:eastAsia="仿宋"/>
          <w:color w:val="auto"/>
          <w:szCs w:val="32"/>
          <w:highlight w:val="none"/>
        </w:rPr>
        <w:t>贯彻落实“多污染物协同控制”要求，进一步推动固体废物、危险废物和土壤环境、地下水环境之间的协同控制。深入贯彻污染农用地溯源规定，加强重点监管园区（企业）土壤和地下水污染预防各项制度的落实。</w:t>
      </w:r>
    </w:p>
    <w:p>
      <w:pPr>
        <w:pStyle w:val="23"/>
        <w:spacing w:line="600" w:lineRule="exact"/>
        <w:ind w:firstLine="640"/>
        <w:jc w:val="both"/>
        <w:rPr>
          <w:rFonts w:hint="eastAsia" w:ascii="仿宋" w:hAnsi="仿宋" w:eastAsia="仿宋"/>
          <w:color w:val="auto"/>
          <w:szCs w:val="32"/>
          <w:highlight w:val="none"/>
        </w:rPr>
      </w:pPr>
      <w:r>
        <w:rPr>
          <w:rFonts w:hint="eastAsia" w:ascii="楷体" w:hAnsi="楷体" w:eastAsia="楷体"/>
          <w:bCs/>
          <w:color w:val="auto"/>
          <w:szCs w:val="32"/>
          <w:highlight w:val="none"/>
          <w:lang w:val="en-US" w:eastAsia="zh-CN"/>
        </w:rPr>
        <w:t>5</w:t>
      </w:r>
      <w:r>
        <w:rPr>
          <w:rFonts w:hint="eastAsia" w:ascii="楷体" w:hAnsi="楷体" w:eastAsia="楷体"/>
          <w:bCs/>
          <w:color w:val="auto"/>
          <w:szCs w:val="32"/>
          <w:highlight w:val="none"/>
        </w:rPr>
        <w:t>.实施土壤污染管控行动。</w:t>
      </w:r>
      <w:r>
        <w:rPr>
          <w:rFonts w:hint="eastAsia" w:ascii="仿宋" w:hAnsi="仿宋" w:eastAsia="仿宋"/>
          <w:color w:val="auto"/>
          <w:szCs w:val="32"/>
          <w:highlight w:val="none"/>
        </w:rPr>
        <w:t>不断提高监督执法能力。深入</w:t>
      </w:r>
      <w:r>
        <w:rPr>
          <w:rFonts w:hint="eastAsia" w:ascii="仿宋" w:hAnsi="仿宋" w:eastAsia="仿宋"/>
          <w:color w:val="auto"/>
          <w:szCs w:val="32"/>
          <w:highlight w:val="none"/>
          <w:lang w:val="zh-TW" w:eastAsia="zh-TW"/>
        </w:rPr>
        <w:t>开展土壤污染状况</w:t>
      </w:r>
      <w:r>
        <w:rPr>
          <w:rFonts w:hint="eastAsia" w:ascii="仿宋" w:hAnsi="仿宋" w:eastAsia="仿宋"/>
          <w:color w:val="auto"/>
          <w:szCs w:val="32"/>
          <w:highlight w:val="none"/>
          <w:lang w:val="zh-TW"/>
        </w:rPr>
        <w:t>调查，实施</w:t>
      </w:r>
      <w:r>
        <w:rPr>
          <w:rFonts w:hint="eastAsia" w:ascii="仿宋" w:hAnsi="仿宋" w:eastAsia="仿宋"/>
          <w:color w:val="auto"/>
          <w:szCs w:val="32"/>
          <w:highlight w:val="none"/>
        </w:rPr>
        <w:t>重金属污染源头管控。健全土壤污染风险排查与预警机制，强化水土一体化监督管理，推进重点行业土壤污染源头整治。重点监管有色金属矿采选、有色金属冶炼、石油开采、石油加工、化工、焦化、电镀、制革等土壤污染重点行业企业。支持</w:t>
      </w:r>
      <w:r>
        <w:rPr>
          <w:rFonts w:hint="eastAsia" w:ascii="仿宋" w:hAnsi="仿宋" w:eastAsia="仿宋"/>
          <w:color w:val="auto"/>
          <w:szCs w:val="32"/>
          <w:highlight w:val="none"/>
          <w:lang w:val="zh-TW" w:eastAsia="zh-TW"/>
        </w:rPr>
        <w:t>重点行业企业</w:t>
      </w:r>
      <w:r>
        <w:rPr>
          <w:rFonts w:hint="eastAsia" w:ascii="仿宋" w:hAnsi="仿宋" w:eastAsia="仿宋"/>
          <w:color w:val="auto"/>
          <w:szCs w:val="32"/>
          <w:highlight w:val="none"/>
          <w:lang w:val="zh-TW"/>
        </w:rPr>
        <w:t>进行</w:t>
      </w:r>
      <w:r>
        <w:rPr>
          <w:rFonts w:hint="eastAsia" w:ascii="仿宋" w:hAnsi="仿宋" w:eastAsia="仿宋"/>
          <w:color w:val="auto"/>
          <w:szCs w:val="32"/>
          <w:highlight w:val="none"/>
          <w:lang w:val="zh-TW" w:eastAsia="zh-TW"/>
        </w:rPr>
        <w:t>土壤环境自行监测，</w:t>
      </w:r>
      <w:r>
        <w:rPr>
          <w:rFonts w:hint="eastAsia" w:ascii="仿宋" w:hAnsi="仿宋" w:eastAsia="仿宋"/>
          <w:color w:val="auto"/>
          <w:szCs w:val="32"/>
          <w:highlight w:val="none"/>
          <w:lang w:val="zh-TW"/>
        </w:rPr>
        <w:t>制定内控防范措施。持续加强</w:t>
      </w:r>
      <w:r>
        <w:rPr>
          <w:rFonts w:hint="eastAsia" w:ascii="仿宋" w:hAnsi="仿宋" w:eastAsia="仿宋"/>
          <w:color w:val="auto"/>
          <w:szCs w:val="32"/>
          <w:highlight w:val="none"/>
        </w:rPr>
        <w:t>耕地土壤环境监测和农产品质量监测。</w:t>
      </w:r>
      <w:r>
        <w:rPr>
          <w:rFonts w:hint="eastAsia" w:ascii="仿宋" w:hAnsi="仿宋" w:eastAsia="仿宋"/>
          <w:color w:val="auto"/>
          <w:szCs w:val="32"/>
          <w:highlight w:val="none"/>
          <w:lang w:val="zh-TW" w:eastAsia="zh-TW"/>
        </w:rPr>
        <w:t>将建设用地土壤环境要求纳入城市规划和供地管理，</w:t>
      </w:r>
      <w:r>
        <w:rPr>
          <w:rFonts w:hint="eastAsia" w:ascii="仿宋" w:hAnsi="仿宋" w:eastAsia="仿宋"/>
          <w:color w:val="auto"/>
          <w:szCs w:val="32"/>
          <w:highlight w:val="none"/>
          <w:lang w:val="zh-TW"/>
        </w:rPr>
        <w:t>确保</w:t>
      </w:r>
      <w:r>
        <w:rPr>
          <w:rFonts w:hint="eastAsia" w:ascii="仿宋" w:hAnsi="仿宋" w:eastAsia="仿宋"/>
          <w:color w:val="auto"/>
          <w:szCs w:val="32"/>
          <w:highlight w:val="none"/>
          <w:lang w:val="zh-TW" w:eastAsia="zh-TW"/>
        </w:rPr>
        <w:t>开发利用土壤环境质量</w:t>
      </w:r>
      <w:r>
        <w:rPr>
          <w:rFonts w:hint="eastAsia" w:ascii="仿宋" w:hAnsi="仿宋" w:eastAsia="仿宋"/>
          <w:color w:val="auto"/>
          <w:szCs w:val="32"/>
          <w:highlight w:val="none"/>
          <w:lang w:val="zh-TW"/>
        </w:rPr>
        <w:t>达到</w:t>
      </w:r>
      <w:r>
        <w:rPr>
          <w:rFonts w:hint="eastAsia" w:ascii="仿宋" w:hAnsi="仿宋" w:eastAsia="仿宋"/>
          <w:color w:val="auto"/>
          <w:szCs w:val="32"/>
          <w:highlight w:val="none"/>
          <w:lang w:val="zh-TW" w:eastAsia="zh-TW"/>
        </w:rPr>
        <w:t>标准</w:t>
      </w:r>
      <w:r>
        <w:rPr>
          <w:rFonts w:hint="eastAsia" w:ascii="仿宋" w:hAnsi="仿宋" w:eastAsia="仿宋"/>
          <w:color w:val="auto"/>
          <w:szCs w:val="32"/>
          <w:highlight w:val="none"/>
          <w:lang w:val="zh-TW"/>
        </w:rPr>
        <w:t>。</w:t>
      </w:r>
      <w:r>
        <w:rPr>
          <w:rFonts w:hint="eastAsia" w:ascii="仿宋" w:hAnsi="仿宋" w:eastAsia="仿宋"/>
          <w:color w:val="auto"/>
          <w:szCs w:val="32"/>
          <w:highlight w:val="none"/>
        </w:rPr>
        <w:t>严格农用地分类管理与建设用地准入管理，深入开展土地综合整治、废弃矿山整治、绿色矿山建设等重大工程建设，全面增强污染土壤管控能力。</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lang w:val="en-US" w:eastAsia="zh-CN"/>
        </w:rPr>
        <w:t>6</w:t>
      </w:r>
      <w:r>
        <w:rPr>
          <w:rFonts w:hint="eastAsia" w:ascii="楷体" w:hAnsi="楷体" w:eastAsia="楷体"/>
          <w:bCs/>
          <w:color w:val="auto"/>
          <w:szCs w:val="32"/>
          <w:highlight w:val="none"/>
        </w:rPr>
        <w:t>.实施土壤污染修复行动。</w:t>
      </w:r>
      <w:r>
        <w:rPr>
          <w:rFonts w:hint="eastAsia" w:ascii="仿宋" w:hAnsi="仿宋" w:eastAsia="仿宋"/>
          <w:color w:val="auto"/>
          <w:szCs w:val="32"/>
          <w:highlight w:val="none"/>
        </w:rPr>
        <w:t>积极探索农用地治理修复办法，试点开展超累积非食用农产品种植，逐步改善受污染耕地环境质量。重点监测土壤中镉、汞、砷、铅、铬等重金属和多环芳烃、石油烃等有机污染物；</w:t>
      </w:r>
      <w:r>
        <w:rPr>
          <w:rFonts w:hint="eastAsia" w:ascii="仿宋" w:hAnsi="仿宋" w:eastAsia="仿宋"/>
          <w:color w:val="auto"/>
          <w:szCs w:val="32"/>
          <w:highlight w:val="none"/>
          <w:lang w:eastAsia="zh-CN"/>
        </w:rPr>
        <w:t>各县（区）土壤生态环境管理部门，依据相关法律法规将重点行业企业关闭搬迁地块建立疑似污染地块名单，录入污染地块土壤环境管理信息系统，对符合条件的无主疑似污染地块，可申请中央资金进行风险评估以及治理和修复。</w:t>
      </w:r>
      <w:r>
        <w:rPr>
          <w:rFonts w:hint="eastAsia" w:ascii="仿宋" w:hAnsi="仿宋" w:eastAsia="仿宋"/>
          <w:color w:val="auto"/>
          <w:szCs w:val="32"/>
          <w:highlight w:val="none"/>
        </w:rPr>
        <w:t>全面治理采煤影响区土壤污染和工业企业土壤用地污染。鼓励有条件的企业开展土壤环境应急处置修复工程以及管理、技术和装备的研发与生产。</w:t>
      </w:r>
    </w:p>
    <w:p>
      <w:pPr>
        <w:pStyle w:val="23"/>
        <w:spacing w:line="600" w:lineRule="exact"/>
        <w:ind w:firstLine="640"/>
        <w:rPr>
          <w:rFonts w:hint="default" w:ascii="仿宋" w:hAnsi="仿宋" w:eastAsia="仿宋"/>
          <w:color w:val="auto"/>
          <w:szCs w:val="32"/>
          <w:highlight w:val="none"/>
          <w:lang w:val="en-US" w:eastAsia="zh-CN"/>
        </w:rPr>
      </w:pPr>
      <w:r>
        <w:rPr>
          <w:rFonts w:hint="eastAsia" w:ascii="楷体" w:hAnsi="楷体" w:eastAsia="楷体"/>
          <w:bCs/>
          <w:color w:val="auto"/>
          <w:szCs w:val="32"/>
          <w:highlight w:val="none"/>
          <w:lang w:val="en-US" w:eastAsia="zh-CN"/>
        </w:rPr>
        <w:t>7</w:t>
      </w:r>
      <w:r>
        <w:rPr>
          <w:rFonts w:hint="eastAsia" w:ascii="楷体" w:hAnsi="楷体" w:eastAsia="楷体"/>
          <w:bCs/>
          <w:color w:val="auto"/>
          <w:szCs w:val="32"/>
          <w:highlight w:val="none"/>
        </w:rPr>
        <w:t>.推进土壤</w:t>
      </w:r>
      <w:r>
        <w:rPr>
          <w:rFonts w:hint="eastAsia" w:ascii="楷体" w:hAnsi="楷体" w:eastAsia="楷体"/>
          <w:bCs/>
          <w:color w:val="auto"/>
          <w:szCs w:val="32"/>
          <w:highlight w:val="none"/>
          <w:lang w:val="en-US" w:eastAsia="zh-CN"/>
        </w:rPr>
        <w:t>类别划分</w:t>
      </w:r>
      <w:r>
        <w:rPr>
          <w:rFonts w:hint="eastAsia" w:ascii="楷体" w:hAnsi="楷体" w:eastAsia="楷体"/>
          <w:bCs/>
          <w:color w:val="auto"/>
          <w:szCs w:val="32"/>
          <w:highlight w:val="none"/>
        </w:rPr>
        <w:t>。</w:t>
      </w:r>
      <w:r>
        <w:rPr>
          <w:rFonts w:hint="eastAsia" w:ascii="仿宋" w:hAnsi="仿宋" w:eastAsia="仿宋"/>
          <w:color w:val="auto"/>
          <w:szCs w:val="32"/>
          <w:highlight w:val="none"/>
        </w:rPr>
        <w:t>持续推进</w:t>
      </w:r>
      <w:r>
        <w:rPr>
          <w:rFonts w:hint="eastAsia" w:ascii="仿宋" w:hAnsi="仿宋" w:eastAsia="仿宋"/>
          <w:color w:val="auto"/>
          <w:szCs w:val="32"/>
          <w:highlight w:val="none"/>
          <w:lang w:val="en-US" w:eastAsia="zh-CN"/>
        </w:rPr>
        <w:t>耕地土壤类别划分。持续推进受污染耕地安全利用，编制受污染耕地安全利用方案，建立受污染耕地安全利用台账。积极建设受污染耕地安全利用集中推进区。加快推进种植结构调整，建立特定农产品禁止生产区，到2025年，完成国家下达的安全利用和严格管控任务。加强耕地土壤与农产品重金属协同预警监测，开展耕地土壤环境质量类别划分动态调整。</w:t>
      </w:r>
    </w:p>
    <w:p>
      <w:pPr>
        <w:pStyle w:val="23"/>
        <w:spacing w:line="600" w:lineRule="exact"/>
        <w:ind w:firstLine="640"/>
        <w:rPr>
          <w:rFonts w:hint="eastAsia" w:ascii="仿宋" w:hAnsi="仿宋" w:eastAsia="仿宋"/>
          <w:color w:val="auto"/>
          <w:szCs w:val="32"/>
          <w:highlight w:val="none"/>
        </w:rPr>
      </w:pPr>
      <w:r>
        <w:rPr>
          <w:rFonts w:hint="eastAsia" w:ascii="楷体" w:hAnsi="楷体" w:eastAsia="楷体"/>
          <w:bCs/>
          <w:color w:val="auto"/>
          <w:szCs w:val="32"/>
          <w:highlight w:val="none"/>
          <w:lang w:val="en-US" w:eastAsia="zh-CN"/>
        </w:rPr>
        <w:t>8</w:t>
      </w:r>
      <w:r>
        <w:rPr>
          <w:rFonts w:hint="eastAsia" w:ascii="楷体" w:hAnsi="楷体" w:eastAsia="楷体"/>
          <w:bCs/>
          <w:color w:val="auto"/>
          <w:szCs w:val="32"/>
          <w:highlight w:val="none"/>
        </w:rPr>
        <w:t>.</w:t>
      </w:r>
      <w:r>
        <w:rPr>
          <w:rFonts w:hint="eastAsia" w:ascii="楷体" w:hAnsi="楷体" w:eastAsia="楷体"/>
          <w:bCs/>
          <w:color w:val="auto"/>
          <w:szCs w:val="32"/>
          <w:highlight w:val="none"/>
          <w:lang w:val="en-US" w:eastAsia="zh-CN"/>
        </w:rPr>
        <w:t>开展矿山遗留土壤污染调查</w:t>
      </w:r>
      <w:r>
        <w:rPr>
          <w:rFonts w:hint="eastAsia" w:ascii="楷体" w:hAnsi="楷体" w:eastAsia="楷体"/>
          <w:bCs/>
          <w:color w:val="auto"/>
          <w:szCs w:val="32"/>
          <w:highlight w:val="none"/>
        </w:rPr>
        <w:t>。</w:t>
      </w:r>
      <w:r>
        <w:rPr>
          <w:rFonts w:hint="eastAsia" w:ascii="仿宋" w:hAnsi="仿宋" w:eastAsia="仿宋"/>
          <w:color w:val="auto"/>
          <w:szCs w:val="32"/>
          <w:highlight w:val="none"/>
        </w:rPr>
        <w:t>全面排查矿区历史遗留固体废物，聚焦重有色金属、硫铁矿等矿产资源开发活动集中的矿区，以及安全利用类和严格管控类耕地集中区域周边的矿区，优先对矿区周边及下游耕地土壤污染较重地区的历史遗留固体废物采取分阶段治理，降低其污染下游灌溉水和农田的风险。</w:t>
      </w:r>
      <w:r>
        <w:rPr>
          <w:rFonts w:hint="eastAsia" w:ascii="仿宋" w:hAnsi="仿宋" w:eastAsia="仿宋"/>
          <w:color w:val="auto"/>
          <w:szCs w:val="32"/>
          <w:highlight w:val="none"/>
          <w:lang w:val="en-US" w:eastAsia="zh-CN"/>
        </w:rPr>
        <w:t>根据</w:t>
      </w:r>
      <w:r>
        <w:rPr>
          <w:rFonts w:hint="eastAsia" w:ascii="仿宋" w:hAnsi="仿宋" w:eastAsia="仿宋"/>
          <w:color w:val="auto"/>
          <w:szCs w:val="32"/>
          <w:highlight w:val="none"/>
        </w:rPr>
        <w:t>完成情况，持续更新污染源整治清单。对已完成整治的污染源开展常态化执法检查，防止整治效果反弹。</w:t>
      </w:r>
    </w:p>
    <w:tbl>
      <w:tblPr>
        <w:tblStyle w:val="24"/>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139" w:type="dxa"/>
          </w:tcPr>
          <w:p>
            <w:pPr>
              <w:spacing w:line="400" w:lineRule="exact"/>
              <w:jc w:val="center"/>
              <w:rPr>
                <w:rFonts w:hint="default" w:ascii="楷体" w:hAnsi="楷体" w:eastAsia="楷体"/>
                <w:b/>
                <w:bCs/>
                <w:color w:val="auto"/>
                <w:sz w:val="28"/>
                <w:szCs w:val="28"/>
                <w:highlight w:val="none"/>
                <w:lang w:val="en-US" w:eastAsia="zh-CN"/>
              </w:rPr>
            </w:pPr>
            <w:r>
              <w:rPr>
                <w:rFonts w:hint="eastAsia" w:ascii="楷体" w:hAnsi="楷体" w:eastAsia="楷体"/>
                <w:b/>
                <w:bCs/>
                <w:color w:val="auto"/>
                <w:sz w:val="28"/>
                <w:szCs w:val="28"/>
                <w:highlight w:val="none"/>
              </w:rPr>
              <w:t>专栏3：提升土壤环境重点项目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139" w:type="dxa"/>
          </w:tcPr>
          <w:p>
            <w:pPr>
              <w:spacing w:line="400" w:lineRule="exact"/>
              <w:jc w:val="left"/>
              <w:rPr>
                <w:rFonts w:hint="default"/>
                <w:color w:val="auto"/>
                <w:highlight w:val="none"/>
                <w:lang w:val="en-US" w:eastAsia="zh-CN"/>
              </w:rPr>
            </w:pPr>
            <w:r>
              <w:rPr>
                <w:rFonts w:hint="eastAsia"/>
                <w:color w:val="auto"/>
                <w:highlight w:val="none"/>
                <w:lang w:val="en-US" w:eastAsia="zh-CN"/>
              </w:rPr>
              <w:t>大伙房水源保护区土壤（地下水）污染调查与风险防控项目</w:t>
            </w:r>
          </w:p>
        </w:tc>
      </w:tr>
    </w:tbl>
    <w:p>
      <w:pPr>
        <w:pStyle w:val="23"/>
        <w:spacing w:line="600" w:lineRule="exact"/>
        <w:ind w:firstLine="643"/>
        <w:outlineLvl w:val="1"/>
        <w:rPr>
          <w:rFonts w:asciiTheme="minorEastAsia" w:hAnsiTheme="minorEastAsia" w:eastAsiaTheme="minorEastAsia"/>
          <w:b/>
          <w:color w:val="auto"/>
          <w:szCs w:val="32"/>
          <w:highlight w:val="none"/>
          <w:shd w:val="clear" w:color="auto" w:fill="FFFFFF"/>
        </w:rPr>
      </w:pPr>
      <w:bookmarkStart w:id="27" w:name="_Toc28656"/>
      <w:r>
        <w:rPr>
          <w:rFonts w:hint="eastAsia" w:asciiTheme="minorEastAsia" w:hAnsiTheme="minorEastAsia" w:eastAsiaTheme="minorEastAsia"/>
          <w:b/>
          <w:color w:val="auto"/>
          <w:szCs w:val="32"/>
          <w:highlight w:val="none"/>
          <w:shd w:val="clear" w:color="auto" w:fill="FFFFFF"/>
        </w:rPr>
        <w:t>（</w:t>
      </w:r>
      <w:r>
        <w:rPr>
          <w:rFonts w:hint="eastAsia" w:asciiTheme="minorEastAsia" w:hAnsiTheme="minorEastAsia" w:eastAsiaTheme="minorEastAsia"/>
          <w:b/>
          <w:color w:val="auto"/>
          <w:szCs w:val="32"/>
          <w:highlight w:val="none"/>
          <w:shd w:val="clear" w:color="auto" w:fill="FFFFFF"/>
          <w:lang w:val="en-US" w:eastAsia="zh-CN"/>
        </w:rPr>
        <w:t>四</w:t>
      </w:r>
      <w:r>
        <w:rPr>
          <w:rFonts w:hint="eastAsia" w:asciiTheme="minorEastAsia" w:hAnsiTheme="minorEastAsia" w:eastAsiaTheme="minorEastAsia"/>
          <w:b/>
          <w:color w:val="auto"/>
          <w:szCs w:val="32"/>
          <w:highlight w:val="none"/>
          <w:shd w:val="clear" w:color="auto" w:fill="FFFFFF"/>
        </w:rPr>
        <w:t>）加强地下水污染协同防治</w:t>
      </w:r>
      <w:bookmarkEnd w:id="27"/>
    </w:p>
    <w:p>
      <w:pPr>
        <w:pStyle w:val="23"/>
        <w:spacing w:line="600" w:lineRule="exact"/>
        <w:ind w:firstLine="640"/>
        <w:rPr>
          <w:rFonts w:ascii="仿宋" w:hAnsi="仿宋" w:eastAsia="仿宋"/>
          <w:color w:val="auto"/>
          <w:szCs w:val="32"/>
          <w:highlight w:val="none"/>
        </w:rPr>
      </w:pPr>
      <w:r>
        <w:rPr>
          <w:rFonts w:hint="eastAsia" w:ascii="仿宋" w:hAnsi="仿宋" w:eastAsia="仿宋"/>
          <w:color w:val="auto"/>
          <w:szCs w:val="32"/>
          <w:highlight w:val="none"/>
        </w:rPr>
        <w:t>全面落实国家、省有关加强地下水污染防治要求，结合《水污染防治行动计划》《土壤污染防治行动计划》和《农业农村污染治理攻坚战行动计划》等有关工作部署和相关任务，保障地下水安全，加快推进地下水污染防治。</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rPr>
        <w:t>1.强化农村地下水型饮水水源保护。</w:t>
      </w:r>
      <w:r>
        <w:rPr>
          <w:rFonts w:hint="eastAsia" w:ascii="仿宋" w:hAnsi="仿宋" w:eastAsia="仿宋"/>
          <w:color w:val="auto"/>
          <w:szCs w:val="32"/>
          <w:highlight w:val="none"/>
        </w:rPr>
        <w:t>完成供水人口在</w:t>
      </w:r>
      <w:r>
        <w:rPr>
          <w:rFonts w:ascii="仿宋" w:hAnsi="仿宋" w:eastAsia="仿宋"/>
          <w:color w:val="auto"/>
          <w:szCs w:val="32"/>
          <w:highlight w:val="none"/>
        </w:rPr>
        <w:t>10000</w:t>
      </w:r>
      <w:r>
        <w:rPr>
          <w:rFonts w:hint="eastAsia" w:ascii="仿宋" w:hAnsi="仿宋" w:eastAsia="仿宋"/>
          <w:color w:val="auto"/>
          <w:szCs w:val="32"/>
          <w:highlight w:val="none"/>
        </w:rPr>
        <w:t>人或日供水</w:t>
      </w:r>
      <w:r>
        <w:rPr>
          <w:rFonts w:ascii="仿宋" w:hAnsi="仿宋" w:eastAsia="仿宋"/>
          <w:color w:val="auto"/>
          <w:szCs w:val="32"/>
          <w:highlight w:val="none"/>
        </w:rPr>
        <w:t>1000</w:t>
      </w:r>
      <w:r>
        <w:rPr>
          <w:rFonts w:hint="eastAsia" w:ascii="仿宋" w:hAnsi="仿宋" w:eastAsia="仿宋"/>
          <w:color w:val="auto"/>
          <w:szCs w:val="32"/>
          <w:highlight w:val="none"/>
        </w:rPr>
        <w:t>吨以上的地下水型饮用水源调查评估和保护区划定工作，设立农村地下水型饮用水源保护区地理界标、警示标志或宣传牌。督促指导组织相关部门监测和评估本行政区域内饮用水源、供水单位供水和用户水龙头出水的水质等状况。加强农村饮用水水质监测，按照国家相关标准，确定监测项目并组织实施。对影响农村地下水型饮用水源环境安全的风险源进行排查，对水质不达标的水源，采取水源更换、集中供水、污染治理等措施，确保农村供水安全。</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rPr>
        <w:t>2.建立健全地下水环境监测体系。</w:t>
      </w:r>
      <w:r>
        <w:rPr>
          <w:rFonts w:hint="eastAsia" w:ascii="仿宋" w:hAnsi="仿宋" w:eastAsia="仿宋"/>
          <w:color w:val="auto"/>
          <w:szCs w:val="32"/>
          <w:highlight w:val="none"/>
        </w:rPr>
        <w:t>衔接省级地下水监测工程，制定地下水环境监测网建设方案，优化整合各类地下水水质监测井的监测点位。加强生态环境地下水考核点位监测井的运行维护和管理，完善地下水监测数据报送制度。健全地下水环境监测网，按照国家和行业相关监测、评价技术规范，开展地下水环境监测。积极推进地下水环境监测数据共享共用，建立地下水环境监测信息共享机制。</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rPr>
        <w:t>3.加强地表水、地下水污染协同防治</w:t>
      </w:r>
      <w:r>
        <w:rPr>
          <w:rFonts w:hint="eastAsia" w:ascii="仿宋" w:hAnsi="仿宋" w:eastAsia="仿宋"/>
          <w:b/>
          <w:bCs/>
          <w:color w:val="auto"/>
          <w:szCs w:val="32"/>
          <w:highlight w:val="none"/>
        </w:rPr>
        <w:t>。</w:t>
      </w:r>
      <w:r>
        <w:rPr>
          <w:rFonts w:hint="eastAsia" w:ascii="仿宋" w:hAnsi="仿宋" w:eastAsia="仿宋"/>
          <w:color w:val="auto"/>
          <w:szCs w:val="32"/>
          <w:highlight w:val="none"/>
        </w:rPr>
        <w:t>加快城镇污水管网更新改造，完善管网收集系统，减少管网渗漏。统筹规划农业灌溉取水水源，严格执行《城市污水再生利用农田灌溉用水水质》《农田灌溉水质标准》和《城镇污水处理厂污染物排放标准》要求，避免在土壤渗透性强、地下水位高、地下水露头区进行再生水灌溉。降低农业面源污染对地下水水质影响，在地下水“三氮”超标地区、推广测土配方施肥技术，积极发展生态循环农业。</w:t>
      </w:r>
    </w:p>
    <w:p>
      <w:pPr>
        <w:pStyle w:val="23"/>
        <w:spacing w:line="600" w:lineRule="exact"/>
        <w:ind w:firstLine="640"/>
        <w:jc w:val="both"/>
        <w:rPr>
          <w:rFonts w:ascii="仿宋" w:hAnsi="仿宋" w:eastAsia="仿宋"/>
          <w:color w:val="auto"/>
          <w:szCs w:val="32"/>
          <w:highlight w:val="none"/>
        </w:rPr>
      </w:pPr>
      <w:r>
        <w:rPr>
          <w:rFonts w:hint="eastAsia" w:ascii="楷体" w:hAnsi="楷体" w:eastAsia="楷体"/>
          <w:bCs/>
          <w:color w:val="auto"/>
          <w:szCs w:val="32"/>
          <w:highlight w:val="none"/>
        </w:rPr>
        <w:t>4.强化土壤、地下水污染协同防治。</w:t>
      </w:r>
      <w:r>
        <w:rPr>
          <w:rFonts w:hint="eastAsia" w:ascii="仿宋" w:hAnsi="仿宋" w:eastAsia="仿宋"/>
          <w:color w:val="auto"/>
          <w:szCs w:val="32"/>
          <w:highlight w:val="none"/>
        </w:rPr>
        <w:t>认真贯彻落实国家、省有关地下水污染防治的要求，将地下水污染防治措施纳入土壤污染影响、土壤污染风险管控、土壤修复方案，做好地下水污染调查、监测、评估、风险防控、修复等与土壤污染防治相关标准规范的衔接，在防治项目立项、实施以及绩效评估等环节上，力求做到统筹安排、同步考虑、同步落实。</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rPr>
        <w:t>5.推动地下水环境分区管理。</w:t>
      </w:r>
      <w:r>
        <w:rPr>
          <w:rFonts w:hint="eastAsia" w:ascii="仿宋" w:hAnsi="仿宋" w:eastAsia="仿宋"/>
          <w:color w:val="auto"/>
          <w:szCs w:val="32"/>
          <w:highlight w:val="none"/>
        </w:rPr>
        <w:t>以饮用水水源保护为核心，加强地下水型饮用水水源补给区保护。科学划定地下水污染防治重点区。强化地下水污染源及周边风险管控。选择典型区域，探索地下水污染防治重点区管控模式与配套政策。</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rPr>
        <w:t>6.</w:t>
      </w:r>
      <w:r>
        <w:rPr>
          <w:rFonts w:hint="eastAsia" w:ascii="楷体" w:hAnsi="楷体" w:eastAsia="楷体"/>
          <w:bCs/>
          <w:color w:val="auto"/>
          <w:szCs w:val="32"/>
          <w:highlight w:val="none"/>
          <w:lang w:val="en-US" w:eastAsia="zh-CN"/>
        </w:rPr>
        <w:t>开展</w:t>
      </w:r>
      <w:r>
        <w:rPr>
          <w:rFonts w:hint="eastAsia" w:ascii="楷体" w:hAnsi="楷体" w:eastAsia="楷体"/>
          <w:bCs/>
          <w:color w:val="auto"/>
          <w:szCs w:val="32"/>
          <w:highlight w:val="none"/>
        </w:rPr>
        <w:t>地下水污染调查评估。</w:t>
      </w:r>
      <w:r>
        <w:rPr>
          <w:rFonts w:hint="eastAsia" w:ascii="仿宋" w:hAnsi="仿宋" w:eastAsia="仿宋"/>
          <w:color w:val="auto"/>
          <w:szCs w:val="32"/>
          <w:highlight w:val="none"/>
        </w:rPr>
        <w:t>强化地下水环境治理目标管理，</w:t>
      </w:r>
      <w:r>
        <w:rPr>
          <w:rFonts w:hint="eastAsia" w:ascii="仿宋" w:hAnsi="仿宋" w:eastAsia="仿宋"/>
          <w:color w:val="auto"/>
          <w:szCs w:val="32"/>
          <w:highlight w:val="none"/>
          <w:lang w:val="en-US" w:eastAsia="zh-CN"/>
        </w:rPr>
        <w:t>开展</w:t>
      </w:r>
      <w:r>
        <w:rPr>
          <w:rFonts w:hint="eastAsia" w:ascii="仿宋" w:hAnsi="仿宋" w:eastAsia="仿宋"/>
          <w:color w:val="auto"/>
          <w:szCs w:val="32"/>
          <w:highlight w:val="none"/>
        </w:rPr>
        <w:t>地下水考核点位优化增补工作，确保地下水点位考核极差比例不增加。持续开展“双源”地下水环境状况调查评估。排查城镇地下水型饮用水水源污染风险。开展地下水水源补给区环境状况调查，识别可能存在的污染源，研判风险等级，建立和完善地下水型饮用水水源补给区内优先管控污染源清单。开展污染源周边地下水环境状况评估。对化学品生产企业、工业集聚区、尾矿库、矿山开采区、危险废物处置场、垃圾填埋场等地下水污染源及周边区堿，开展地下水环境状况专项调查，评估地下水环境风险。</w:t>
      </w:r>
      <w:r>
        <w:rPr>
          <w:rFonts w:hint="eastAsia" w:ascii="仿宋" w:hAnsi="仿宋" w:eastAsia="仿宋"/>
          <w:color w:val="auto"/>
          <w:szCs w:val="32"/>
          <w:highlight w:val="none"/>
          <w:lang w:val="en-US" w:eastAsia="zh-CN"/>
        </w:rPr>
        <w:t>开展</w:t>
      </w:r>
      <w:r>
        <w:rPr>
          <w:rFonts w:hint="eastAsia" w:ascii="仿宋" w:hAnsi="仿宋" w:eastAsia="仿宋"/>
          <w:color w:val="auto"/>
          <w:szCs w:val="32"/>
          <w:highlight w:val="none"/>
        </w:rPr>
        <w:t>化工园区和危险废物填埋场地下水环境状况调查评估</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lang w:val="en-US" w:eastAsia="zh-CN"/>
        </w:rPr>
        <w:t>到</w:t>
      </w:r>
      <w:r>
        <w:rPr>
          <w:rFonts w:hint="eastAsia" w:ascii="仿宋" w:hAnsi="仿宋" w:eastAsia="仿宋"/>
          <w:color w:val="auto"/>
          <w:szCs w:val="32"/>
          <w:highlight w:val="none"/>
        </w:rPr>
        <w:t>2025年，完成一批其他污染源地下水环境状况调查评估。完善生态环境、自然资源、水利、水文地质勘察部门联动监管机制，联合开展区域地下水污染成因、趋势分析和区域地下水污染防治区划、管控等工作。实现地下水环境“一张图”管理。</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rPr>
        <w:t>7.逐步管控地下水环境风险。</w:t>
      </w:r>
      <w:r>
        <w:rPr>
          <w:rFonts w:hint="eastAsia" w:ascii="仿宋" w:hAnsi="仿宋" w:eastAsia="仿宋"/>
          <w:color w:val="auto"/>
          <w:szCs w:val="32"/>
          <w:highlight w:val="none"/>
        </w:rPr>
        <w:t>保障地下水型饮用水水源环境安全。针对人为污染造成水质超标的地下水型饮用水源，</w:t>
      </w:r>
      <w:r>
        <w:rPr>
          <w:rFonts w:hint="eastAsia" w:ascii="仿宋" w:hAnsi="仿宋" w:eastAsia="仿宋"/>
          <w:color w:val="auto"/>
          <w:szCs w:val="32"/>
          <w:highlight w:val="none"/>
          <w:lang w:eastAsia="zh-CN"/>
        </w:rPr>
        <w:t>采取</w:t>
      </w:r>
      <w:r>
        <w:rPr>
          <w:rFonts w:hint="eastAsia" w:ascii="仿宋" w:hAnsi="仿宋" w:eastAsia="仿宋"/>
          <w:color w:val="auto"/>
          <w:szCs w:val="32"/>
          <w:highlight w:val="none"/>
        </w:rPr>
        <w:t>水厂处理或更换水源等处理措施，确保饮水安全。加强地下水污染源头防治。实施地下水污染源防渗，</w:t>
      </w:r>
      <w:r>
        <w:rPr>
          <w:rFonts w:hint="eastAsia" w:ascii="仿宋" w:hAnsi="仿宋" w:eastAsia="仿宋"/>
          <w:b w:val="0"/>
          <w:bCs/>
          <w:color w:val="auto"/>
          <w:szCs w:val="32"/>
          <w:highlight w:val="none"/>
        </w:rPr>
        <w:t>强化化学品生产企业、危险废物处置场、垃圾填埋场等申领排污许可证制度，采取防渗防漏等措施，建设地下水水质监测井并进行监测</w:t>
      </w:r>
      <w:r>
        <w:rPr>
          <w:rFonts w:hint="eastAsia" w:ascii="仿宋" w:hAnsi="仿宋" w:eastAsia="仿宋"/>
          <w:color w:val="auto"/>
          <w:szCs w:val="32"/>
          <w:highlight w:val="none"/>
        </w:rPr>
        <w:t>。</w:t>
      </w:r>
      <w:r>
        <w:rPr>
          <w:rFonts w:hint="eastAsia" w:ascii="仿宋" w:hAnsi="仿宋" w:eastAsia="仿宋"/>
          <w:color w:val="auto"/>
          <w:szCs w:val="32"/>
          <w:highlight w:val="none"/>
          <w:lang w:val="en-US" w:eastAsia="zh-CN"/>
        </w:rPr>
        <w:t>到2025年，</w:t>
      </w:r>
      <w:r>
        <w:rPr>
          <w:rFonts w:hint="eastAsia" w:ascii="仿宋" w:hAnsi="仿宋" w:eastAsia="仿宋"/>
          <w:color w:val="auto"/>
          <w:szCs w:val="32"/>
          <w:highlight w:val="none"/>
        </w:rPr>
        <w:t>开展地下水污染修复试点示范工程，完成重点区域石油化工、冶炼、钢铁工业集聚区地下水污染风险管控。开展地下水超采区综合治理，对地下水超采区，严格控制地下水取用水量。</w:t>
      </w:r>
    </w:p>
    <w:p>
      <w:pPr>
        <w:pStyle w:val="23"/>
        <w:spacing w:line="600" w:lineRule="exact"/>
        <w:ind w:firstLine="643"/>
        <w:outlineLvl w:val="1"/>
        <w:rPr>
          <w:rFonts w:asciiTheme="minorEastAsia" w:hAnsiTheme="minorEastAsia" w:eastAsiaTheme="minorEastAsia"/>
          <w:b/>
          <w:color w:val="auto"/>
          <w:szCs w:val="32"/>
          <w:highlight w:val="none"/>
          <w:shd w:val="clear" w:color="auto" w:fill="FFFFFF"/>
        </w:rPr>
      </w:pPr>
      <w:bookmarkStart w:id="28" w:name="_Toc26276"/>
      <w:r>
        <w:rPr>
          <w:rFonts w:hint="eastAsia" w:asciiTheme="minorEastAsia" w:hAnsiTheme="minorEastAsia" w:eastAsiaTheme="minorEastAsia"/>
          <w:b/>
          <w:color w:val="auto"/>
          <w:szCs w:val="32"/>
          <w:highlight w:val="none"/>
          <w:shd w:val="clear" w:color="auto" w:fill="FFFFFF"/>
        </w:rPr>
        <w:t>（五）加强</w:t>
      </w:r>
      <w:r>
        <w:rPr>
          <w:rFonts w:asciiTheme="minorEastAsia" w:hAnsiTheme="minorEastAsia" w:eastAsiaTheme="minorEastAsia"/>
          <w:b/>
          <w:color w:val="auto"/>
          <w:szCs w:val="32"/>
          <w:highlight w:val="none"/>
          <w:shd w:val="clear" w:color="auto" w:fill="FFFFFF"/>
        </w:rPr>
        <w:t>固体废物系统治理</w:t>
      </w:r>
      <w:bookmarkEnd w:id="28"/>
    </w:p>
    <w:p>
      <w:pPr>
        <w:pStyle w:val="23"/>
        <w:spacing w:line="600" w:lineRule="exact"/>
        <w:ind w:firstLine="640"/>
        <w:rPr>
          <w:rFonts w:ascii="仿宋" w:hAnsi="仿宋" w:eastAsia="仿宋"/>
          <w:color w:val="auto"/>
          <w:szCs w:val="32"/>
          <w:highlight w:val="none"/>
        </w:rPr>
      </w:pPr>
      <w:r>
        <w:rPr>
          <w:rFonts w:hint="eastAsia" w:ascii="仿宋" w:hAnsi="仿宋" w:eastAsia="仿宋"/>
          <w:color w:val="auto"/>
          <w:szCs w:val="32"/>
          <w:highlight w:val="none"/>
        </w:rPr>
        <w:t>坚持减量化、资源化、无害化原则，按照严格法治、分类整治、标本兼治的思路，探索解决固废污染治理难题，将固废防治作为深入打好污染防治攻坚战的重要内容，与大气、水、土壤污染防治进行统筹谋划。</w:t>
      </w:r>
    </w:p>
    <w:p>
      <w:pPr>
        <w:pStyle w:val="23"/>
        <w:spacing w:line="600" w:lineRule="exact"/>
        <w:ind w:firstLine="640"/>
        <w:rPr>
          <w:rFonts w:hint="default" w:ascii="楷体" w:hAnsi="楷体" w:eastAsia="楷体"/>
          <w:bCs/>
          <w:color w:val="auto"/>
          <w:szCs w:val="32"/>
          <w:highlight w:val="none"/>
          <w:lang w:val="en-US" w:eastAsia="zh-CN"/>
        </w:rPr>
      </w:pPr>
      <w:r>
        <w:rPr>
          <w:rFonts w:hint="eastAsia" w:ascii="楷体" w:hAnsi="楷体" w:eastAsia="楷体"/>
          <w:bCs/>
          <w:color w:val="auto"/>
          <w:szCs w:val="32"/>
          <w:highlight w:val="none"/>
          <w:lang w:val="en-US" w:eastAsia="zh-CN"/>
        </w:rPr>
        <w:t>1.</w:t>
      </w:r>
      <w:r>
        <w:rPr>
          <w:rFonts w:hint="eastAsia" w:ascii="楷体" w:hAnsi="楷体" w:eastAsia="楷体"/>
          <w:bCs/>
          <w:color w:val="auto"/>
          <w:szCs w:val="32"/>
          <w:highlight w:val="none"/>
        </w:rPr>
        <w:t>强化固废三化能力建设。</w:t>
      </w:r>
      <w:r>
        <w:rPr>
          <w:rFonts w:hint="eastAsia" w:ascii="仿宋" w:hAnsi="仿宋" w:eastAsia="仿宋"/>
          <w:color w:val="auto"/>
          <w:szCs w:val="32"/>
          <w:highlight w:val="none"/>
          <w:lang w:val="en-US" w:eastAsia="zh-CN"/>
        </w:rPr>
        <w:t>强化固废减量化、资源化、无害化理念，培育“无废文化”。</w:t>
      </w:r>
      <w:r>
        <w:rPr>
          <w:rFonts w:hint="eastAsia" w:ascii="仿宋" w:hAnsi="仿宋" w:eastAsia="仿宋" w:cs="Arial"/>
          <w:color w:val="auto"/>
          <w:szCs w:val="32"/>
          <w:highlight w:val="none"/>
          <w:shd w:val="clear" w:color="auto" w:fill="FFFFFF"/>
        </w:rPr>
        <w:t>加快推进生活垃圾分类工作，</w:t>
      </w:r>
      <w:r>
        <w:rPr>
          <w:rFonts w:hint="eastAsia" w:ascii="仿宋" w:hAnsi="仿宋" w:eastAsia="仿宋"/>
          <w:color w:val="auto"/>
          <w:szCs w:val="32"/>
          <w:highlight w:val="none"/>
        </w:rPr>
        <w:t>建立以城市为基础，不断向农村延伸的生活垃圾分类体系。</w:t>
      </w:r>
      <w:r>
        <w:rPr>
          <w:rFonts w:hint="eastAsia" w:ascii="仿宋" w:hAnsi="仿宋" w:eastAsia="仿宋"/>
          <w:color w:val="auto"/>
          <w:szCs w:val="32"/>
          <w:highlight w:val="none"/>
          <w:lang w:val="en-US" w:eastAsia="zh-CN"/>
        </w:rPr>
        <w:t>加强社会宣传，建立完善的生活垃圾分类投放、分类收集、分类运输、分类处理系统，推进垃圾分类回收与再生资源回收“两网融合”。</w:t>
      </w:r>
      <w:r>
        <w:rPr>
          <w:rFonts w:hint="eastAsia" w:ascii="仿宋" w:hAnsi="仿宋" w:eastAsia="仿宋"/>
          <w:color w:val="auto"/>
          <w:szCs w:val="32"/>
          <w:highlight w:val="none"/>
        </w:rPr>
        <w:t>依托已开展的垃圾分类试点，继续实施生活垃圾分类配套基础设施建设，完善分类后垃圾的暂存、运输、资源化和无害化处理处置体系。</w:t>
      </w:r>
      <w:r>
        <w:rPr>
          <w:rFonts w:hint="eastAsia" w:ascii="仿宋" w:hAnsi="仿宋" w:eastAsia="仿宋"/>
          <w:color w:val="auto"/>
          <w:szCs w:val="32"/>
          <w:highlight w:val="none"/>
          <w:lang w:val="en-US" w:eastAsia="zh-CN"/>
        </w:rPr>
        <w:t>到2025年，</w:t>
      </w:r>
      <w:r>
        <w:rPr>
          <w:rFonts w:hint="eastAsia" w:ascii="仿宋" w:hAnsi="仿宋" w:eastAsia="仿宋"/>
          <w:color w:val="auto"/>
          <w:szCs w:val="32"/>
          <w:highlight w:val="none"/>
        </w:rPr>
        <w:t>力争全市城市生活垃圾无害化处理率达到98%以上。</w:t>
      </w:r>
      <w:r>
        <w:rPr>
          <w:rFonts w:hint="eastAsia" w:ascii="仿宋" w:hAnsi="仿宋" w:eastAsia="仿宋" w:cs="Arial"/>
          <w:color w:val="auto"/>
          <w:szCs w:val="32"/>
          <w:highlight w:val="none"/>
          <w:shd w:val="clear" w:color="auto" w:fill="FFFFFF"/>
        </w:rPr>
        <w:t>积极推进城市生活垃圾资源化利用，提高城市垃圾焚烧发电厂运行效率，推进餐厨废弃</w:t>
      </w:r>
      <w:r>
        <w:rPr>
          <w:color w:val="auto"/>
          <w:highlight w:val="none"/>
        </w:rPr>
        <w:fldChar w:fldCharType="begin"/>
      </w:r>
      <w:r>
        <w:rPr>
          <w:color w:val="auto"/>
          <w:highlight w:val="none"/>
        </w:rPr>
        <w:instrText xml:space="preserve"> HYPERLINK "http://baike.eastmoney.com/item/%E7%89%A9%E8%B5%84" \t "_blank" </w:instrText>
      </w:r>
      <w:r>
        <w:rPr>
          <w:color w:val="auto"/>
          <w:highlight w:val="none"/>
        </w:rPr>
        <w:fldChar w:fldCharType="separate"/>
      </w:r>
      <w:r>
        <w:rPr>
          <w:rFonts w:hint="eastAsia"/>
          <w:color w:val="auto"/>
          <w:highlight w:val="none"/>
        </w:rPr>
        <w:t>物资</w:t>
      </w:r>
      <w:r>
        <w:rPr>
          <w:rFonts w:hint="eastAsia"/>
          <w:color w:val="auto"/>
          <w:highlight w:val="none"/>
        </w:rPr>
        <w:fldChar w:fldCharType="end"/>
      </w:r>
      <w:r>
        <w:rPr>
          <w:rFonts w:hint="eastAsia" w:ascii="仿宋" w:hAnsi="仿宋" w:eastAsia="仿宋" w:cs="Arial"/>
          <w:color w:val="auto"/>
          <w:szCs w:val="32"/>
          <w:highlight w:val="none"/>
          <w:shd w:val="clear" w:color="auto" w:fill="FFFFFF"/>
        </w:rPr>
        <w:t>源化利用，为提升城市生活品质提供重要保障。整治“白色污染”，</w:t>
      </w:r>
      <w:r>
        <w:rPr>
          <w:rFonts w:hint="eastAsia" w:ascii="仿宋" w:hAnsi="仿宋" w:eastAsia="仿宋"/>
          <w:color w:val="auto"/>
          <w:szCs w:val="32"/>
          <w:highlight w:val="none"/>
          <w:lang w:val="en-US" w:eastAsia="zh-CN"/>
        </w:rPr>
        <w:t>推进塑料污染全链条管理，大幅减少一次性塑料制品使用，加强废弃塑料制品回收利用。推进建筑垃圾综合利用。推进规划建设建筑垃圾资源化利用处置项目。加强建筑垃圾规范有序资源化利用，鼓励采用收集、运输和处理一体化模式处置利用建筑垃圾。</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Cs w:val="32"/>
          <w:highlight w:val="none"/>
        </w:rPr>
      </w:pPr>
      <w:r>
        <w:rPr>
          <w:rFonts w:hint="eastAsia" w:ascii="楷体" w:hAnsi="楷体" w:eastAsia="楷体"/>
          <w:bCs/>
          <w:color w:val="auto"/>
          <w:szCs w:val="32"/>
          <w:highlight w:val="none"/>
          <w:lang w:val="en-US" w:eastAsia="zh-CN"/>
        </w:rPr>
        <w:t>2.</w:t>
      </w:r>
      <w:r>
        <w:rPr>
          <w:rFonts w:hint="eastAsia" w:ascii="楷体" w:hAnsi="楷体" w:eastAsia="楷体"/>
          <w:bCs/>
          <w:color w:val="auto"/>
          <w:szCs w:val="32"/>
          <w:highlight w:val="none"/>
        </w:rPr>
        <w:t>加强大宗固体废物综合利用。</w:t>
      </w:r>
      <w:r>
        <w:rPr>
          <w:rFonts w:hint="eastAsia" w:ascii="仿宋" w:hAnsi="仿宋" w:eastAsia="仿宋"/>
          <w:color w:val="auto"/>
          <w:szCs w:val="32"/>
          <w:highlight w:val="none"/>
          <w:lang w:val="en-US" w:eastAsia="zh-CN"/>
        </w:rPr>
        <w:t>加快推进煤矸石产业园区建设，加快推进望花大宗固体废弃物综合利用产业园基础配套设施建设、胜利开发区大宗固体废弃物综合利用产业园基础配套设施提升改造。</w:t>
      </w:r>
      <w:r>
        <w:rPr>
          <w:rFonts w:hint="eastAsia" w:ascii="仿宋" w:hAnsi="仿宋" w:eastAsia="仿宋"/>
          <w:color w:val="auto"/>
          <w:szCs w:val="32"/>
          <w:highlight w:val="none"/>
        </w:rPr>
        <w:t>综合考虑抚顺煤矸石资源特性和已有产业现状，重点发展煤矸石新型建筑材料、煤矸石工业原料、煤矸石土壤改良、煤矸石洗选综合利用、煤矸石砂源替代利用等主导产业。</w:t>
      </w:r>
      <w:r>
        <w:rPr>
          <w:rFonts w:hint="eastAsia" w:ascii="仿宋" w:hAnsi="仿宋" w:eastAsia="仿宋"/>
          <w:color w:val="auto"/>
          <w:szCs w:val="32"/>
          <w:highlight w:val="none"/>
          <w:lang w:val="en-US" w:eastAsia="zh-CN"/>
        </w:rPr>
        <w:t>依托</w:t>
      </w:r>
      <w:r>
        <w:rPr>
          <w:rFonts w:hint="eastAsia" w:ascii="仿宋" w:hAnsi="仿宋" w:eastAsia="仿宋"/>
          <w:color w:val="auto"/>
          <w:szCs w:val="32"/>
          <w:highlight w:val="none"/>
        </w:rPr>
        <w:t>抚顺新钢、特钢钢渣综合利用重点企业生产高品位渣钢，磁选粉，人工砂及建筑骨料。回收利用尘泥、除尘灰、铁皮配比原料二次冶炼使用。</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Cs w:val="32"/>
          <w:highlight w:val="none"/>
        </w:rPr>
      </w:pPr>
      <w:r>
        <w:rPr>
          <w:rFonts w:hint="eastAsia" w:ascii="楷体" w:hAnsi="楷体" w:eastAsia="楷体" w:cs="Times New Roman"/>
          <w:bCs/>
          <w:color w:val="auto"/>
          <w:szCs w:val="32"/>
          <w:highlight w:val="none"/>
          <w:lang w:val="en-US" w:eastAsia="zh-CN"/>
        </w:rPr>
        <w:t>3.</w:t>
      </w:r>
      <w:r>
        <w:rPr>
          <w:rFonts w:hint="eastAsia" w:ascii="楷体" w:hAnsi="楷体" w:eastAsia="楷体" w:cs="Times New Roman"/>
          <w:bCs/>
          <w:color w:val="auto"/>
          <w:szCs w:val="32"/>
          <w:highlight w:val="none"/>
        </w:rPr>
        <w:t>加强</w:t>
      </w:r>
      <w:r>
        <w:rPr>
          <w:rFonts w:hint="eastAsia" w:ascii="楷体" w:hAnsi="楷体" w:eastAsia="楷体"/>
          <w:bCs/>
          <w:color w:val="auto"/>
          <w:szCs w:val="32"/>
          <w:highlight w:val="none"/>
        </w:rPr>
        <w:t>固体废物</w:t>
      </w:r>
      <w:r>
        <w:rPr>
          <w:rFonts w:hint="eastAsia" w:ascii="楷体" w:hAnsi="楷体" w:eastAsia="楷体" w:cs="Times New Roman"/>
          <w:bCs/>
          <w:color w:val="auto"/>
          <w:szCs w:val="32"/>
          <w:highlight w:val="none"/>
        </w:rPr>
        <w:t>利用污染防治。</w:t>
      </w:r>
      <w:r>
        <w:rPr>
          <w:rFonts w:hint="eastAsia" w:ascii="仿宋" w:hAnsi="仿宋" w:eastAsia="仿宋"/>
          <w:color w:val="auto"/>
          <w:szCs w:val="32"/>
          <w:highlight w:val="none"/>
        </w:rPr>
        <w:t>完善固体废物综合利用污染防治制度，推动固体废物综合利用二次污染环境防治工作。强化固体废物产出企业全过程污染环境防治责任，建立固体废物管理台账，记录产生固体废物的种类、数量、流向、贮存、利用、处置等信息，实施固体废物综合利用可追溯、可查询。加快建立行业规范条件和管理办法，对建设项目的规模、工艺技术装备、环境保护措施、能源资源利用等进行规范化管理，依规约束企业在生产经营活动中不符合环境保护标准的各类行为。</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Cs w:val="32"/>
          <w:highlight w:val="none"/>
        </w:rPr>
      </w:pPr>
    </w:p>
    <w:tbl>
      <w:tblPr>
        <w:tblStyle w:val="24"/>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139" w:type="dxa"/>
          </w:tcPr>
          <w:p>
            <w:pPr>
              <w:spacing w:line="400" w:lineRule="exact"/>
              <w:jc w:val="center"/>
              <w:rPr>
                <w:rFonts w:ascii="楷体" w:hAnsi="楷体" w:eastAsia="楷体"/>
                <w:b/>
                <w:bCs/>
                <w:color w:val="auto"/>
                <w:sz w:val="28"/>
                <w:szCs w:val="28"/>
                <w:highlight w:val="none"/>
              </w:rPr>
            </w:pPr>
            <w:r>
              <w:rPr>
                <w:rFonts w:hint="eastAsia" w:ascii="楷体" w:hAnsi="楷体" w:eastAsia="楷体"/>
                <w:b/>
                <w:bCs/>
                <w:color w:val="auto"/>
                <w:sz w:val="28"/>
                <w:szCs w:val="28"/>
                <w:highlight w:val="none"/>
              </w:rPr>
              <w:t>专栏</w:t>
            </w:r>
            <w:r>
              <w:rPr>
                <w:rFonts w:hint="eastAsia" w:ascii="楷体" w:hAnsi="楷体" w:eastAsia="楷体"/>
                <w:b/>
                <w:bCs/>
                <w:color w:val="auto"/>
                <w:sz w:val="28"/>
                <w:szCs w:val="28"/>
                <w:highlight w:val="none"/>
                <w:lang w:val="en-US" w:eastAsia="zh-CN"/>
              </w:rPr>
              <w:t>4</w:t>
            </w:r>
            <w:r>
              <w:rPr>
                <w:rFonts w:hint="eastAsia" w:ascii="楷体" w:hAnsi="楷体" w:eastAsia="楷体"/>
                <w:b/>
                <w:bCs/>
                <w:color w:val="auto"/>
                <w:sz w:val="28"/>
                <w:szCs w:val="28"/>
                <w:highlight w:val="none"/>
              </w:rPr>
              <w:t>：推进</w:t>
            </w:r>
            <w:r>
              <w:rPr>
                <w:rFonts w:hint="eastAsia" w:ascii="楷体" w:hAnsi="楷体" w:eastAsia="楷体"/>
                <w:b/>
                <w:bCs/>
                <w:color w:val="auto"/>
                <w:sz w:val="28"/>
                <w:szCs w:val="28"/>
                <w:highlight w:val="none"/>
                <w:lang w:eastAsia="zh-CN"/>
              </w:rPr>
              <w:t>固体废物</w:t>
            </w:r>
            <w:r>
              <w:rPr>
                <w:rFonts w:hint="eastAsia" w:ascii="楷体" w:hAnsi="楷体" w:eastAsia="楷体"/>
                <w:b/>
                <w:bCs/>
                <w:color w:val="auto"/>
                <w:sz w:val="28"/>
                <w:szCs w:val="28"/>
                <w:highlight w:val="none"/>
              </w:rPr>
              <w:t>资源化利用重点项目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139" w:type="dxa"/>
          </w:tcPr>
          <w:p>
            <w:pPr>
              <w:numPr>
                <w:ilvl w:val="0"/>
                <w:numId w:val="5"/>
              </w:numPr>
              <w:spacing w:line="400" w:lineRule="exact"/>
              <w:ind w:left="454" w:leftChars="0" w:hanging="454" w:firstLineChars="0"/>
              <w:jc w:val="left"/>
              <w:rPr>
                <w:rFonts w:hint="default"/>
                <w:color w:val="auto"/>
                <w:highlight w:val="none"/>
                <w:lang w:val="en-US" w:eastAsia="zh-CN"/>
              </w:rPr>
            </w:pPr>
            <w:r>
              <w:rPr>
                <w:rFonts w:hint="eastAsia"/>
                <w:color w:val="auto"/>
                <w:highlight w:val="none"/>
                <w:lang w:val="en-US" w:eastAsia="zh-CN"/>
              </w:rPr>
              <w:t>抚顺再生资源产业园危废资源化综合利用处置中心项目（二、三期）</w:t>
            </w:r>
          </w:p>
          <w:p>
            <w:pPr>
              <w:numPr>
                <w:ilvl w:val="0"/>
                <w:numId w:val="5"/>
              </w:numPr>
              <w:spacing w:line="400" w:lineRule="exact"/>
              <w:ind w:left="454" w:leftChars="0" w:hanging="454" w:firstLineChars="0"/>
              <w:jc w:val="left"/>
              <w:rPr>
                <w:rFonts w:hint="eastAsia"/>
                <w:color w:val="auto"/>
                <w:highlight w:val="none"/>
                <w:lang w:val="en-US" w:eastAsia="zh-CN"/>
              </w:rPr>
            </w:pPr>
            <w:r>
              <w:rPr>
                <w:rFonts w:hint="eastAsia"/>
                <w:color w:val="auto"/>
                <w:highlight w:val="none"/>
                <w:lang w:val="en-US" w:eastAsia="zh-CN"/>
              </w:rPr>
              <w:t>辽宁特力环保科技有限公司30万吨/年废旧铅酸蓄电池及铅废物再生利用项目</w:t>
            </w:r>
          </w:p>
          <w:p>
            <w:pPr>
              <w:numPr>
                <w:ilvl w:val="0"/>
                <w:numId w:val="5"/>
              </w:numPr>
              <w:spacing w:line="400" w:lineRule="exact"/>
              <w:ind w:left="454" w:leftChars="0" w:hanging="454" w:firstLineChars="0"/>
              <w:jc w:val="left"/>
              <w:rPr>
                <w:rFonts w:hint="default"/>
                <w:color w:val="auto"/>
                <w:highlight w:val="none"/>
                <w:lang w:val="en-US" w:eastAsia="zh-CN"/>
              </w:rPr>
            </w:pPr>
            <w:r>
              <w:rPr>
                <w:rFonts w:hint="eastAsia"/>
                <w:color w:val="auto"/>
                <w:highlight w:val="none"/>
                <w:lang w:val="en-US" w:eastAsia="zh-CN"/>
              </w:rPr>
              <w:t>6万吨/年废润滑油加氢再生项目</w:t>
            </w:r>
          </w:p>
          <w:p>
            <w:pPr>
              <w:numPr>
                <w:ilvl w:val="0"/>
                <w:numId w:val="5"/>
              </w:numPr>
              <w:spacing w:line="400" w:lineRule="exact"/>
              <w:ind w:left="454" w:leftChars="0" w:hanging="454" w:firstLineChars="0"/>
              <w:jc w:val="left"/>
              <w:rPr>
                <w:rFonts w:hint="eastAsia"/>
                <w:color w:val="auto"/>
                <w:highlight w:val="none"/>
                <w:lang w:val="en-US" w:eastAsia="zh-CN"/>
              </w:rPr>
            </w:pPr>
            <w:r>
              <w:rPr>
                <w:rFonts w:hint="eastAsia"/>
                <w:color w:val="auto"/>
                <w:highlight w:val="none"/>
                <w:lang w:val="en-US" w:eastAsia="zh-CN"/>
              </w:rPr>
              <w:t>1万吨/年催化剂综合利用项目</w:t>
            </w:r>
          </w:p>
          <w:p>
            <w:pPr>
              <w:numPr>
                <w:ilvl w:val="0"/>
                <w:numId w:val="5"/>
              </w:numPr>
              <w:spacing w:line="400" w:lineRule="exact"/>
              <w:ind w:left="454" w:leftChars="0" w:hanging="454" w:firstLineChars="0"/>
              <w:jc w:val="left"/>
              <w:rPr>
                <w:rFonts w:hint="default"/>
                <w:color w:val="auto"/>
                <w:highlight w:val="none"/>
                <w:lang w:val="en-US" w:eastAsia="zh-CN"/>
              </w:rPr>
            </w:pPr>
            <w:r>
              <w:rPr>
                <w:rFonts w:hint="eastAsia"/>
                <w:color w:val="auto"/>
                <w:highlight w:val="none"/>
                <w:lang w:val="en-US" w:eastAsia="zh-CN"/>
              </w:rPr>
              <w:t>废弃</w:t>
            </w:r>
            <w:r>
              <w:rPr>
                <w:rFonts w:hint="default"/>
                <w:color w:val="auto"/>
                <w:highlight w:val="none"/>
                <w:lang w:val="en-US" w:eastAsia="zh-CN"/>
              </w:rPr>
              <w:t>SCR催化剂</w:t>
            </w:r>
            <w:r>
              <w:rPr>
                <w:rFonts w:hint="eastAsia"/>
                <w:color w:val="auto"/>
                <w:highlight w:val="none"/>
                <w:lang w:val="en-US" w:eastAsia="zh-CN"/>
              </w:rPr>
              <w:t>金属化物回收项目</w:t>
            </w:r>
          </w:p>
          <w:p>
            <w:pPr>
              <w:numPr>
                <w:ilvl w:val="0"/>
                <w:numId w:val="5"/>
              </w:numPr>
              <w:spacing w:line="400" w:lineRule="exact"/>
              <w:ind w:left="454" w:leftChars="0" w:hanging="454" w:firstLineChars="0"/>
              <w:jc w:val="left"/>
              <w:rPr>
                <w:rFonts w:hint="eastAsia"/>
                <w:color w:val="auto"/>
                <w:highlight w:val="none"/>
                <w:lang w:val="en-US" w:eastAsia="zh-CN"/>
              </w:rPr>
            </w:pPr>
            <w:r>
              <w:rPr>
                <w:rFonts w:hint="eastAsia"/>
                <w:color w:val="auto"/>
                <w:highlight w:val="none"/>
                <w:lang w:val="en-US" w:eastAsia="zh-CN"/>
              </w:rPr>
              <w:t>抚顺兴科威化工有限公司年产50000吨冷喷油、提纯16000吨乙二醇残液项目</w:t>
            </w:r>
          </w:p>
          <w:p>
            <w:pPr>
              <w:numPr>
                <w:ilvl w:val="0"/>
                <w:numId w:val="5"/>
              </w:numPr>
              <w:spacing w:line="400" w:lineRule="exact"/>
              <w:ind w:left="454" w:leftChars="0" w:hanging="454" w:firstLineChars="0"/>
              <w:jc w:val="left"/>
              <w:rPr>
                <w:rFonts w:hint="default"/>
                <w:color w:val="auto"/>
                <w:highlight w:val="none"/>
                <w:lang w:val="en-US" w:eastAsia="zh-CN"/>
              </w:rPr>
            </w:pPr>
            <w:r>
              <w:rPr>
                <w:rFonts w:hint="eastAsia"/>
                <w:color w:val="auto"/>
                <w:highlight w:val="none"/>
                <w:lang w:val="en-US" w:eastAsia="zh-CN"/>
              </w:rPr>
              <w:t>抚顺市盛达工业产品综合利用有限公司危险废物综合利用项目</w:t>
            </w:r>
          </w:p>
        </w:tc>
      </w:tr>
    </w:tbl>
    <w:p>
      <w:pPr>
        <w:pStyle w:val="23"/>
        <w:spacing w:line="600" w:lineRule="exact"/>
        <w:ind w:firstLine="643"/>
        <w:outlineLvl w:val="1"/>
        <w:rPr>
          <w:rFonts w:asciiTheme="minorEastAsia" w:hAnsiTheme="minorEastAsia" w:eastAsiaTheme="minorEastAsia"/>
          <w:b/>
          <w:color w:val="auto"/>
          <w:szCs w:val="32"/>
          <w:highlight w:val="none"/>
          <w:shd w:val="clear" w:color="auto" w:fill="FFFFFF"/>
        </w:rPr>
      </w:pPr>
      <w:bookmarkStart w:id="29" w:name="_Toc10013"/>
      <w:r>
        <w:rPr>
          <w:rFonts w:hint="eastAsia" w:asciiTheme="minorEastAsia" w:hAnsiTheme="minorEastAsia" w:eastAsiaTheme="minorEastAsia"/>
          <w:b/>
          <w:color w:val="auto"/>
          <w:szCs w:val="32"/>
          <w:highlight w:val="none"/>
          <w:shd w:val="clear" w:color="auto" w:fill="FFFFFF"/>
        </w:rPr>
        <w:t>（六）加强噪声污染防治</w:t>
      </w:r>
      <w:bookmarkEnd w:id="29"/>
    </w:p>
    <w:p>
      <w:pPr>
        <w:pStyle w:val="23"/>
        <w:spacing w:line="600" w:lineRule="exact"/>
        <w:ind w:firstLine="640"/>
        <w:rPr>
          <w:rFonts w:ascii="仿宋" w:hAnsi="仿宋" w:eastAsia="仿宋"/>
          <w:color w:val="auto"/>
          <w:szCs w:val="32"/>
          <w:highlight w:val="none"/>
        </w:rPr>
      </w:pPr>
      <w:r>
        <w:rPr>
          <w:rFonts w:hint="eastAsia" w:ascii="仿宋" w:hAnsi="仿宋" w:eastAsia="仿宋"/>
          <w:color w:val="auto"/>
          <w:szCs w:val="32"/>
          <w:highlight w:val="none"/>
        </w:rPr>
        <w:t>以科学发展观为指导，提升噪声污染防治和声环境质量管理水平，强化噪声源监督管理，切实解决噪声扰民突出问题，不断改善城乡声环境质量和辐射安全，努力建设安静舒适的城乡环境，保护居民身体健康，促进和谐社会建设。</w:t>
      </w:r>
    </w:p>
    <w:p>
      <w:pPr>
        <w:pStyle w:val="23"/>
        <w:spacing w:line="600" w:lineRule="exact"/>
        <w:ind w:firstLine="640"/>
        <w:rPr>
          <w:rFonts w:hint="eastAsia" w:ascii="仿宋" w:hAnsi="仿宋" w:eastAsia="仿宋"/>
          <w:color w:val="auto"/>
          <w:szCs w:val="32"/>
          <w:highlight w:val="none"/>
          <w:lang w:eastAsia="zh-CN"/>
        </w:rPr>
      </w:pPr>
      <w:r>
        <w:rPr>
          <w:rFonts w:hint="eastAsia" w:ascii="楷体" w:hAnsi="楷体" w:eastAsia="楷体"/>
          <w:bCs/>
          <w:color w:val="auto"/>
          <w:szCs w:val="32"/>
          <w:highlight w:val="none"/>
        </w:rPr>
        <w:t>1.调整抚顺市城区声环境功能区划。</w:t>
      </w:r>
      <w:r>
        <w:rPr>
          <w:rFonts w:hint="eastAsia" w:ascii="仿宋" w:hAnsi="仿宋" w:eastAsia="仿宋"/>
          <w:color w:val="auto"/>
          <w:szCs w:val="32"/>
          <w:highlight w:val="none"/>
        </w:rPr>
        <w:t>为适应“十四五”城区声环境管理需要，对1996年抚顺市人民政府批准的“抚顺市城区环境噪声标准适用区域”（1996年3月实施）基础上进行调整，为环境噪声执法、污染源治理、环境规划等提供依据</w:t>
      </w:r>
      <w:r>
        <w:rPr>
          <w:rFonts w:hint="eastAsia" w:ascii="仿宋" w:hAnsi="仿宋" w:eastAsia="仿宋"/>
          <w:color w:val="auto"/>
          <w:szCs w:val="32"/>
          <w:highlight w:val="none"/>
          <w:lang w:eastAsia="zh-CN"/>
        </w:rPr>
        <w:t>。</w:t>
      </w:r>
    </w:p>
    <w:p>
      <w:pPr>
        <w:pStyle w:val="23"/>
        <w:spacing w:line="600" w:lineRule="exact"/>
        <w:ind w:firstLine="640"/>
        <w:rPr>
          <w:rFonts w:ascii="楷体" w:hAnsi="楷体" w:eastAsia="楷体"/>
          <w:bCs/>
          <w:color w:val="auto"/>
          <w:szCs w:val="32"/>
          <w:highlight w:val="none"/>
        </w:rPr>
      </w:pPr>
      <w:r>
        <w:rPr>
          <w:rFonts w:hint="eastAsia" w:ascii="楷体" w:hAnsi="楷体" w:eastAsia="楷体"/>
          <w:bCs/>
          <w:color w:val="auto"/>
          <w:szCs w:val="32"/>
          <w:highlight w:val="none"/>
        </w:rPr>
        <w:t>2.加强重点噪声源治理。</w:t>
      </w:r>
      <w:r>
        <w:rPr>
          <w:rFonts w:hint="eastAsia" w:ascii="仿宋" w:hAnsi="仿宋" w:eastAsia="仿宋"/>
          <w:color w:val="auto"/>
          <w:szCs w:val="32"/>
          <w:highlight w:val="none"/>
        </w:rPr>
        <w:t>加大交通、施工、工业、生活4个重点领域污染防治力度:严格实施禁鸣、限行、限速等措施，控制噪声敏感建筑物集中区域道路噪声污染；控制铁路在城市市区内运行的噪声污染。加强施工噪声排放申报管理，严格限制在敏感区内夜间进行产生噪声污染的施工作业。严格管理敏感区内的文体活动和室内娱乐活动，明确限制室内装修作业时间。加大敏感区内噪声排放超标污染源关停力度，加强工业园区噪声污染防治，禁止高噪声污染项目入园区。</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rPr>
        <w:t>3.加强各部门协调联动。</w:t>
      </w:r>
      <w:r>
        <w:rPr>
          <w:rFonts w:hint="eastAsia" w:ascii="仿宋" w:hAnsi="仿宋" w:eastAsia="仿宋"/>
          <w:color w:val="auto"/>
          <w:szCs w:val="32"/>
          <w:highlight w:val="none"/>
        </w:rPr>
        <w:t>建立噪声污染防治工作协调机制，抓好工作落实。生态环境、住建、交通、公安各有关部门要按照职责分工，协同做好噪声污染防治工作。生态环境部门应依据各县区实际情况，抓好统筹协调，加强督促检査。定期组织各县区生态环境主管部门，研究解决噪声污染防治中的重大问题。</w:t>
      </w:r>
    </w:p>
    <w:p>
      <w:pPr>
        <w:pStyle w:val="23"/>
        <w:spacing w:line="600" w:lineRule="exact"/>
        <w:ind w:firstLine="643"/>
        <w:outlineLvl w:val="1"/>
        <w:rPr>
          <w:rFonts w:hint="default" w:asciiTheme="minorEastAsia" w:hAnsiTheme="minorEastAsia" w:eastAsiaTheme="minorEastAsia"/>
          <w:b/>
          <w:color w:val="auto"/>
          <w:szCs w:val="32"/>
          <w:highlight w:val="none"/>
          <w:shd w:val="clear" w:color="auto" w:fill="FFFFFF"/>
          <w:lang w:val="en-US" w:eastAsia="zh-CN"/>
        </w:rPr>
      </w:pPr>
      <w:bookmarkStart w:id="30" w:name="_Toc25767"/>
      <w:r>
        <w:rPr>
          <w:rFonts w:hint="eastAsia" w:asciiTheme="minorEastAsia" w:hAnsiTheme="minorEastAsia" w:eastAsiaTheme="minorEastAsia"/>
          <w:b/>
          <w:color w:val="auto"/>
          <w:szCs w:val="32"/>
          <w:highlight w:val="none"/>
          <w:shd w:val="clear" w:color="auto" w:fill="FFFFFF"/>
        </w:rPr>
        <w:t>（</w:t>
      </w:r>
      <w:r>
        <w:rPr>
          <w:rFonts w:hint="eastAsia" w:asciiTheme="minorEastAsia" w:hAnsiTheme="minorEastAsia" w:eastAsiaTheme="minorEastAsia"/>
          <w:b/>
          <w:color w:val="auto"/>
          <w:szCs w:val="32"/>
          <w:highlight w:val="none"/>
          <w:shd w:val="clear" w:color="auto" w:fill="FFFFFF"/>
          <w:lang w:val="en-US" w:eastAsia="zh-CN"/>
        </w:rPr>
        <w:t>七</w:t>
      </w:r>
      <w:r>
        <w:rPr>
          <w:rFonts w:hint="eastAsia" w:asciiTheme="minorEastAsia" w:hAnsiTheme="minorEastAsia" w:eastAsiaTheme="minorEastAsia"/>
          <w:b/>
          <w:color w:val="auto"/>
          <w:szCs w:val="32"/>
          <w:highlight w:val="none"/>
          <w:shd w:val="clear" w:color="auto" w:fill="FFFFFF"/>
        </w:rPr>
        <w:t>）</w:t>
      </w:r>
      <w:r>
        <w:rPr>
          <w:rFonts w:hint="eastAsia" w:asciiTheme="minorEastAsia" w:hAnsiTheme="minorEastAsia" w:eastAsiaTheme="minorEastAsia"/>
          <w:b/>
          <w:color w:val="auto"/>
          <w:szCs w:val="32"/>
          <w:highlight w:val="none"/>
          <w:shd w:val="clear" w:color="auto" w:fill="FFFFFF"/>
          <w:lang w:val="en-US" w:eastAsia="zh-CN"/>
        </w:rPr>
        <w:t>强化生态环境风险防控</w:t>
      </w:r>
      <w:bookmarkEnd w:id="30"/>
    </w:p>
    <w:p>
      <w:pPr>
        <w:pStyle w:val="23"/>
        <w:spacing w:line="600" w:lineRule="exact"/>
        <w:ind w:firstLine="640"/>
        <w:rPr>
          <w:rFonts w:hint="default" w:ascii="仿宋" w:hAnsi="仿宋" w:eastAsia="仿宋"/>
          <w:color w:val="auto"/>
          <w:szCs w:val="32"/>
          <w:highlight w:val="none"/>
          <w:lang w:val="en-US" w:eastAsia="zh-CN"/>
        </w:rPr>
      </w:pPr>
      <w:r>
        <w:rPr>
          <w:rFonts w:hint="eastAsia" w:ascii="仿宋" w:hAnsi="仿宋" w:eastAsia="仿宋"/>
          <w:color w:val="auto"/>
          <w:szCs w:val="32"/>
          <w:highlight w:val="none"/>
          <w:lang w:val="en-US" w:eastAsia="zh-CN"/>
        </w:rPr>
        <w:t>坚持源头防控和系统管理，以危化品企业和化工园区、危险废物处理处置、核与辐射领域为重点，构建“事前、事中、事后”全过程、多层级生态环境风险防范核应急体系。</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lang w:val="en-US" w:eastAsia="zh-CN"/>
        </w:rPr>
        <w:t>1</w:t>
      </w:r>
      <w:r>
        <w:rPr>
          <w:rFonts w:hint="eastAsia" w:ascii="楷体" w:hAnsi="楷体" w:eastAsia="楷体"/>
          <w:bCs/>
          <w:color w:val="auto"/>
          <w:szCs w:val="32"/>
          <w:highlight w:val="none"/>
        </w:rPr>
        <w:t>.健全危险废物收集</w:t>
      </w:r>
      <w:r>
        <w:rPr>
          <w:rFonts w:hint="eastAsia" w:ascii="楷体" w:hAnsi="楷体" w:eastAsia="楷体"/>
          <w:bCs/>
          <w:color w:val="auto"/>
          <w:szCs w:val="32"/>
          <w:highlight w:val="none"/>
          <w:lang w:val="en-US" w:eastAsia="zh-CN"/>
        </w:rPr>
        <w:t>转运处置</w:t>
      </w:r>
      <w:r>
        <w:rPr>
          <w:rFonts w:hint="eastAsia" w:ascii="楷体" w:hAnsi="楷体" w:eastAsia="楷体"/>
          <w:bCs/>
          <w:color w:val="auto"/>
          <w:szCs w:val="32"/>
          <w:highlight w:val="none"/>
        </w:rPr>
        <w:t>体系。</w:t>
      </w:r>
      <w:r>
        <w:rPr>
          <w:rFonts w:hint="eastAsia" w:ascii="仿宋" w:hAnsi="仿宋" w:eastAsia="仿宋"/>
          <w:color w:val="auto"/>
          <w:szCs w:val="32"/>
          <w:highlight w:val="none"/>
        </w:rPr>
        <w:t>建立服务中小产生源的区域性危险废物专业收运机制，按照危险废物的源头规范化管理要求，进一步延伸市场收集触角，做到区域性的危险废物统一收集、包装、标识、运输和管理，鼓励</w:t>
      </w:r>
      <w:r>
        <w:rPr>
          <w:rFonts w:hint="eastAsia" w:ascii="仿宋" w:hAnsi="仿宋" w:eastAsia="仿宋"/>
          <w:color w:val="auto"/>
          <w:szCs w:val="32"/>
          <w:highlight w:val="none"/>
          <w:lang w:val="en-US" w:eastAsia="zh-CN"/>
        </w:rPr>
        <w:t>有</w:t>
      </w:r>
      <w:r>
        <w:rPr>
          <w:rFonts w:hint="eastAsia" w:ascii="仿宋" w:hAnsi="仿宋" w:eastAsia="仿宋"/>
          <w:color w:val="auto"/>
          <w:szCs w:val="32"/>
          <w:highlight w:val="none"/>
        </w:rPr>
        <w:t>资质单位为产生企业提供危险废物分类收集、贮存、预处理专业化服务。</w:t>
      </w:r>
    </w:p>
    <w:p>
      <w:pPr>
        <w:pStyle w:val="23"/>
        <w:spacing w:line="600" w:lineRule="exact"/>
        <w:ind w:firstLine="640"/>
        <w:rPr>
          <w:rFonts w:hint="eastAsia" w:ascii="仿宋" w:hAnsi="仿宋" w:eastAsia="仿宋"/>
          <w:color w:val="auto"/>
          <w:szCs w:val="32"/>
          <w:highlight w:val="none"/>
        </w:rPr>
      </w:pPr>
      <w:r>
        <w:rPr>
          <w:rFonts w:hint="eastAsia" w:ascii="楷体" w:hAnsi="楷体" w:eastAsia="楷体"/>
          <w:bCs/>
          <w:color w:val="auto"/>
          <w:szCs w:val="32"/>
          <w:highlight w:val="none"/>
          <w:lang w:val="en-US" w:eastAsia="zh-CN"/>
        </w:rPr>
        <w:t>2</w:t>
      </w:r>
      <w:r>
        <w:rPr>
          <w:rFonts w:hint="eastAsia" w:ascii="楷体" w:hAnsi="楷体" w:eastAsia="楷体"/>
          <w:bCs/>
          <w:color w:val="auto"/>
          <w:szCs w:val="32"/>
          <w:highlight w:val="none"/>
        </w:rPr>
        <w:t>.提升危险废弃物利用处置能力。</w:t>
      </w:r>
      <w:r>
        <w:rPr>
          <w:rFonts w:hint="eastAsia" w:ascii="仿宋" w:hAnsi="仿宋" w:eastAsia="仿宋"/>
          <w:color w:val="auto"/>
          <w:szCs w:val="32"/>
          <w:highlight w:val="none"/>
        </w:rPr>
        <w:t>鼓励石化、化工园区、大型企业集团根据需要自行配套建设高标准的危险废物利用处置设施。鼓励企业采取清洁生产等措施，从源头减少危险废物的产生量和危害性，优先实行企业内部资源化利用危险废物。依托抚顺市再生资源产业园区，推进危险废物专业化、规模化利用。鼓励新建废催化剂再生、铝灰、化工废盐、垃圾焚烧飞灰综合利用等项目，补齐能力短板。适度发展生活垃圾焚烧飞灰、危废焚烧灰渣等专项水泥窑协同处置设施。</w:t>
      </w:r>
    </w:p>
    <w:p>
      <w:pPr>
        <w:pStyle w:val="23"/>
        <w:spacing w:line="600" w:lineRule="exact"/>
        <w:ind w:firstLine="640"/>
        <w:rPr>
          <w:rFonts w:ascii="仿宋" w:hAnsi="仿宋" w:eastAsia="仿宋"/>
          <w:b/>
          <w:bCs/>
          <w:color w:val="auto"/>
          <w:szCs w:val="32"/>
          <w:highlight w:val="none"/>
        </w:rPr>
      </w:pPr>
      <w:r>
        <w:rPr>
          <w:rFonts w:hint="eastAsia" w:ascii="楷体" w:hAnsi="楷体" w:eastAsia="楷体"/>
          <w:bCs/>
          <w:color w:val="auto"/>
          <w:szCs w:val="32"/>
          <w:highlight w:val="none"/>
          <w:lang w:val="en-US" w:eastAsia="zh-CN"/>
        </w:rPr>
        <w:t>3</w:t>
      </w:r>
      <w:r>
        <w:rPr>
          <w:rFonts w:hint="eastAsia" w:ascii="楷体" w:hAnsi="楷体" w:eastAsia="楷体"/>
          <w:bCs/>
          <w:color w:val="auto"/>
          <w:szCs w:val="32"/>
          <w:highlight w:val="none"/>
        </w:rPr>
        <w:t>.强化危险废物全过程监管。</w:t>
      </w:r>
      <w:r>
        <w:rPr>
          <w:rFonts w:hint="eastAsia" w:ascii="仿宋" w:hAnsi="仿宋" w:eastAsia="仿宋"/>
          <w:color w:val="auto"/>
          <w:szCs w:val="32"/>
          <w:highlight w:val="none"/>
        </w:rPr>
        <w:t>开展涉废企业危险废物规范化日常巡查监管，强化危险废物规范化环境管理</w:t>
      </w:r>
      <w:r>
        <w:rPr>
          <w:rFonts w:hint="eastAsia" w:ascii="仿宋" w:hAnsi="仿宋" w:eastAsia="仿宋"/>
          <w:color w:val="auto"/>
          <w:szCs w:val="32"/>
          <w:highlight w:val="none"/>
          <w:lang w:val="en-US" w:eastAsia="zh-CN"/>
        </w:rPr>
        <w:t>评估</w:t>
      </w:r>
      <w:r>
        <w:rPr>
          <w:rFonts w:hint="eastAsia" w:ascii="仿宋" w:hAnsi="仿宋" w:eastAsia="仿宋"/>
          <w:color w:val="auto"/>
          <w:szCs w:val="32"/>
          <w:highlight w:val="none"/>
        </w:rPr>
        <w:t>，加强危险废物核查及环境执法检查。开展危险废物全面环境风险管控技术示范，建立危险废物风险防控信息化管理系统，实施风险分级分类管理。依法将固体废物纳入排污许可管理。将危险废物、医疗废物、机动车维修行业等日常环境监管纳入生态环境执法“双随机</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rPr>
        <w:t>一公开”内容。</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lang w:val="en-US" w:eastAsia="zh-CN"/>
        </w:rPr>
        <w:t>4</w:t>
      </w:r>
      <w:r>
        <w:rPr>
          <w:rFonts w:hint="eastAsia" w:ascii="楷体" w:hAnsi="楷体" w:eastAsia="楷体"/>
          <w:bCs/>
          <w:color w:val="auto"/>
          <w:szCs w:val="32"/>
          <w:highlight w:val="none"/>
        </w:rPr>
        <w:t>.增强危险废物环境风险防范能力。</w:t>
      </w:r>
      <w:r>
        <w:rPr>
          <w:rFonts w:hint="eastAsia" w:ascii="仿宋" w:hAnsi="仿宋" w:eastAsia="仿宋"/>
          <w:color w:val="auto"/>
          <w:szCs w:val="32"/>
          <w:highlight w:val="none"/>
        </w:rPr>
        <w:t>建立区域和部门联防联控联治，加强危险废物环境监督管理，建立由政府相关部门组成的环境风险防范合作机制，强化信息共享和协作配合。强化化工园区环境风险防控，深入排查化工园区环境风险隐患，落实化工园区环境保护主体责任和“一园一策”危险废物利用处置要求。鼓励园区建立危险废物智能化追溯管控平台，实现园区内危险废物全程监管。</w:t>
      </w:r>
    </w:p>
    <w:p>
      <w:pPr>
        <w:pStyle w:val="23"/>
        <w:spacing w:line="600" w:lineRule="exact"/>
        <w:ind w:firstLine="640"/>
        <w:rPr>
          <w:rFonts w:hint="default" w:ascii="仿宋" w:hAnsi="仿宋" w:eastAsia="仿宋"/>
          <w:color w:val="auto"/>
          <w:szCs w:val="32"/>
          <w:highlight w:val="none"/>
          <w:lang w:val="en-US" w:eastAsia="zh-CN"/>
        </w:rPr>
      </w:pPr>
      <w:r>
        <w:rPr>
          <w:rFonts w:hint="eastAsia" w:ascii="楷体" w:hAnsi="楷体" w:eastAsia="楷体"/>
          <w:bCs/>
          <w:color w:val="auto"/>
          <w:szCs w:val="32"/>
          <w:highlight w:val="none"/>
          <w:lang w:val="en-US" w:eastAsia="zh-CN"/>
        </w:rPr>
        <w:t>5</w:t>
      </w:r>
      <w:r>
        <w:rPr>
          <w:rFonts w:hint="eastAsia" w:ascii="楷体" w:hAnsi="楷体" w:eastAsia="楷体"/>
          <w:bCs/>
          <w:color w:val="auto"/>
          <w:szCs w:val="32"/>
          <w:highlight w:val="none"/>
        </w:rPr>
        <w:t>.加快医疗废物</w:t>
      </w:r>
      <w:r>
        <w:rPr>
          <w:rFonts w:hint="eastAsia" w:ascii="楷体" w:hAnsi="楷体" w:eastAsia="楷体"/>
          <w:bCs/>
          <w:color w:val="auto"/>
          <w:szCs w:val="32"/>
          <w:highlight w:val="none"/>
          <w:lang w:val="en-US" w:eastAsia="zh-CN"/>
        </w:rPr>
        <w:t>收集转运</w:t>
      </w:r>
      <w:r>
        <w:rPr>
          <w:rFonts w:hint="eastAsia" w:ascii="楷体" w:hAnsi="楷体" w:eastAsia="楷体"/>
          <w:bCs/>
          <w:color w:val="auto"/>
          <w:szCs w:val="32"/>
          <w:highlight w:val="none"/>
        </w:rPr>
        <w:t>处置设施建设。</w:t>
      </w:r>
      <w:r>
        <w:rPr>
          <w:rFonts w:hint="eastAsia" w:ascii="仿宋" w:hAnsi="仿宋" w:eastAsia="仿宋"/>
          <w:color w:val="auto"/>
          <w:szCs w:val="32"/>
          <w:highlight w:val="none"/>
        </w:rPr>
        <w:t>开展加强医疗废物环境监管</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rPr>
        <w:t>加强医疗废物集中处置设施建设，不断满足对医疗废物处置能力的需求。建立完善医疗废物收集转运处置体系，为乡镇医院提供就地处置服务。</w:t>
      </w:r>
      <w:r>
        <w:rPr>
          <w:rFonts w:hint="eastAsia" w:ascii="仿宋" w:hAnsi="仿宋" w:eastAsia="仿宋" w:cs="仿宋"/>
          <w:bCs/>
          <w:color w:val="auto"/>
          <w:szCs w:val="32"/>
          <w:highlight w:val="none"/>
          <w:lang w:val="zh-TW" w:eastAsia="zh-TW"/>
        </w:rPr>
        <w:t>加强医疗废物的环境管理，规范医疗机构医疗废物的收集、贮存等各环节。加大医疗废物处置中心的监管力度，确保运输安全和达标排放</w:t>
      </w:r>
      <w:r>
        <w:rPr>
          <w:rFonts w:hint="eastAsia" w:ascii="仿宋" w:hAnsi="仿宋" w:eastAsia="仿宋" w:cs="仿宋"/>
          <w:bCs/>
          <w:color w:val="auto"/>
          <w:szCs w:val="32"/>
          <w:highlight w:val="none"/>
          <w:lang w:val="zh-TW"/>
        </w:rPr>
        <w:t>。</w:t>
      </w:r>
      <w:r>
        <w:rPr>
          <w:rFonts w:hint="eastAsia" w:ascii="仿宋" w:hAnsi="仿宋" w:eastAsia="仿宋"/>
          <w:color w:val="auto"/>
          <w:szCs w:val="32"/>
          <w:highlight w:val="none"/>
        </w:rPr>
        <w:t>各县区建立医疗废物协同应急处理机制，保障突发疫情、处置设施检修等期间医疗废物应急处理能力。</w:t>
      </w:r>
      <w:r>
        <w:rPr>
          <w:rFonts w:hint="eastAsia" w:ascii="仿宋" w:hAnsi="仿宋" w:eastAsia="仿宋"/>
          <w:color w:val="auto"/>
          <w:szCs w:val="32"/>
          <w:highlight w:val="none"/>
          <w:lang w:val="en-US" w:eastAsia="zh-CN"/>
        </w:rPr>
        <w:t>对偏远地区医疗废物集中处置单位无法覆盖收集处置的，鼓励其区政府使用移动型医疗废物处置设施，争取医疗废物安全处置全覆盖。</w:t>
      </w:r>
    </w:p>
    <w:p>
      <w:pPr>
        <w:pStyle w:val="23"/>
        <w:spacing w:line="600" w:lineRule="exact"/>
        <w:ind w:firstLine="640"/>
        <w:rPr>
          <w:rFonts w:hint="eastAsia" w:ascii="仿宋" w:hAnsi="仿宋" w:eastAsia="仿宋"/>
          <w:color w:val="auto"/>
          <w:szCs w:val="32"/>
          <w:highlight w:val="none"/>
        </w:rPr>
      </w:pPr>
      <w:r>
        <w:rPr>
          <w:rFonts w:hint="eastAsia" w:ascii="楷体" w:hAnsi="楷体" w:eastAsia="楷体"/>
          <w:bCs/>
          <w:color w:val="auto"/>
          <w:szCs w:val="32"/>
          <w:highlight w:val="none"/>
          <w:lang w:val="en-US" w:eastAsia="zh-CN"/>
        </w:rPr>
        <w:t>6</w:t>
      </w:r>
      <w:r>
        <w:rPr>
          <w:rFonts w:hint="eastAsia" w:ascii="楷体" w:hAnsi="楷体" w:eastAsia="楷体"/>
          <w:bCs/>
          <w:color w:val="auto"/>
          <w:szCs w:val="32"/>
          <w:highlight w:val="none"/>
        </w:rPr>
        <w:t>.加强核与辐射环境安全监管。</w:t>
      </w:r>
      <w:r>
        <w:rPr>
          <w:rFonts w:hint="eastAsia" w:ascii="仿宋" w:hAnsi="仿宋" w:eastAsia="仿宋"/>
          <w:color w:val="auto"/>
          <w:szCs w:val="32"/>
          <w:highlight w:val="none"/>
        </w:rPr>
        <w:t>持续开展抚顺市辐射事故隐患排查工作</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rPr>
        <w:t>强化对高风险移动放射源和射线装置的辐射安全监管</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rPr>
        <w:t>征求相关部门意见，完成抚顺市辐射事故应急预案的编制</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rPr>
        <w:t>定期开展辐射事故应急演练。</w:t>
      </w:r>
    </w:p>
    <w:p>
      <w:pPr>
        <w:pStyle w:val="23"/>
        <w:spacing w:line="600" w:lineRule="exact"/>
        <w:ind w:firstLine="640"/>
        <w:rPr>
          <w:rFonts w:hint="default" w:ascii="楷体" w:hAnsi="楷体" w:eastAsia="楷体"/>
          <w:bCs/>
          <w:color w:val="auto"/>
          <w:szCs w:val="32"/>
          <w:highlight w:val="none"/>
          <w:lang w:val="en-US" w:eastAsia="zh-CN"/>
        </w:rPr>
      </w:pPr>
      <w:r>
        <w:rPr>
          <w:rFonts w:hint="eastAsia" w:ascii="楷体" w:hAnsi="楷体" w:eastAsia="楷体"/>
          <w:bCs/>
          <w:color w:val="auto"/>
          <w:szCs w:val="32"/>
          <w:highlight w:val="none"/>
          <w:lang w:val="en-US" w:eastAsia="zh-CN"/>
        </w:rPr>
        <w:t>7.强化重金属、高风险化学品和新污染物管控</w:t>
      </w:r>
      <w:r>
        <w:rPr>
          <w:rFonts w:hint="eastAsia" w:ascii="楷体" w:hAnsi="楷体" w:eastAsia="楷体"/>
          <w:bCs/>
          <w:color w:val="auto"/>
          <w:szCs w:val="32"/>
          <w:highlight w:val="none"/>
        </w:rPr>
        <w:t>。</w:t>
      </w:r>
      <w:r>
        <w:rPr>
          <w:rFonts w:hint="eastAsia" w:ascii="仿宋" w:hAnsi="仿宋" w:eastAsia="仿宋"/>
          <w:color w:val="auto"/>
          <w:szCs w:val="32"/>
          <w:highlight w:val="none"/>
          <w:lang w:val="en-US" w:eastAsia="zh-CN"/>
        </w:rPr>
        <w:t>持续推进重点区域、重点行业重金属污染防控。严格涉金属企业环境准入管理，重点区域新（改、扩）建涉重金属重点行业建设项目，实施“等量替代”或“减量替代”。重视新污染物治理，开展新污染物治理行动，加强优先控制化学品、新化学物质、持久性有机污染物、内分泌干扰物等的环境监管。建立健全有毒有害化学物质环境风险管理制度，动态发布重点监管新污染物清单及禁止、限制、限排等环境风险管控措施。</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lang w:val="en-US" w:eastAsia="zh-CN"/>
        </w:rPr>
        <w:t>8.强化生态环境应急管理。</w:t>
      </w:r>
      <w:r>
        <w:rPr>
          <w:rFonts w:hint="eastAsia" w:ascii="仿宋" w:hAnsi="仿宋" w:eastAsia="仿宋"/>
          <w:color w:val="auto"/>
          <w:szCs w:val="32"/>
          <w:highlight w:val="none"/>
        </w:rPr>
        <w:t>实施企业环境应急预案电子化备案，实现涉危涉重企业电子化备案全覆盖。完成《抚顺市突发环境事件应急预案》《抚顺市大伙房饮用水水源保护区突发环境事件应急预案》修编，逐步完成县（区）级政府突发环境应急预案修编。到2025年，涉危涉重企业和化工园区环境应急预案备案率达到100%。完善应急预警体系，每年开展2次以上突发环境事件应急演练，建设多学科、多领域的环境应急专家库，建设政企互补的环境应急物资储备库，</w:t>
      </w:r>
      <w:r>
        <w:rPr>
          <w:rFonts w:hint="eastAsia" w:ascii="仿宋" w:hAnsi="仿宋" w:eastAsia="仿宋" w:cs="仿宋"/>
          <w:bCs/>
          <w:color w:val="auto"/>
          <w:szCs w:val="32"/>
          <w:highlight w:val="none"/>
        </w:rPr>
        <w:t>2023年底前，配合省厅在新宾县建设水源地环境应急物资储备库</w:t>
      </w:r>
      <w:r>
        <w:rPr>
          <w:rFonts w:hint="eastAsia" w:ascii="仿宋" w:hAnsi="仿宋" w:eastAsia="仿宋"/>
          <w:color w:val="auto"/>
          <w:szCs w:val="32"/>
          <w:highlight w:val="none"/>
        </w:rPr>
        <w:t>。培育一批社会化专业应急处置队伍，建立区域联动的应急响应与调度支援机制。</w:t>
      </w:r>
    </w:p>
    <w:p>
      <w:pPr>
        <w:pStyle w:val="23"/>
        <w:spacing w:line="800" w:lineRule="exact"/>
        <w:ind w:firstLine="643"/>
        <w:outlineLvl w:val="0"/>
        <w:rPr>
          <w:rFonts w:hint="eastAsia" w:eastAsia="黑体" w:cs="黑体"/>
          <w:color w:val="auto"/>
          <w:szCs w:val="32"/>
          <w:highlight w:val="none"/>
          <w:lang w:eastAsia="zh-CN"/>
        </w:rPr>
      </w:pPr>
      <w:bookmarkStart w:id="31" w:name="_Toc10521"/>
      <w:r>
        <w:rPr>
          <w:rFonts w:hint="eastAsia" w:asciiTheme="minorEastAsia" w:hAnsiTheme="minorEastAsia" w:eastAsiaTheme="minorEastAsia"/>
          <w:b/>
          <w:color w:val="auto"/>
          <w:szCs w:val="32"/>
          <w:highlight w:val="none"/>
          <w:shd w:val="clear" w:color="auto" w:fill="FFFFFF"/>
          <w:lang w:val="en-US" w:eastAsia="zh-CN"/>
        </w:rPr>
        <w:t>五</w:t>
      </w:r>
      <w:r>
        <w:rPr>
          <w:rFonts w:hint="eastAsia" w:asciiTheme="minorEastAsia" w:hAnsiTheme="minorEastAsia" w:eastAsiaTheme="minorEastAsia"/>
          <w:b/>
          <w:color w:val="auto"/>
          <w:szCs w:val="32"/>
          <w:highlight w:val="none"/>
          <w:shd w:val="clear" w:color="auto" w:fill="FFFFFF"/>
        </w:rPr>
        <w:t>、</w:t>
      </w:r>
      <w:r>
        <w:rPr>
          <w:rFonts w:hint="eastAsia" w:eastAsia="黑体" w:cs="黑体"/>
          <w:color w:val="auto"/>
          <w:szCs w:val="32"/>
          <w:highlight w:val="none"/>
        </w:rPr>
        <w:t>提升水源生态涵养基地环境质量，筑牢生态安全屏障</w:t>
      </w:r>
      <w:bookmarkEnd w:id="31"/>
    </w:p>
    <w:bookmarkEnd w:id="26"/>
    <w:p>
      <w:pPr>
        <w:pStyle w:val="23"/>
        <w:spacing w:line="600" w:lineRule="exact"/>
        <w:ind w:firstLine="640"/>
        <w:rPr>
          <w:rFonts w:ascii="仿宋" w:hAnsi="仿宋" w:eastAsia="仿宋"/>
          <w:color w:val="auto"/>
          <w:szCs w:val="32"/>
          <w:highlight w:val="none"/>
        </w:rPr>
      </w:pPr>
      <w:r>
        <w:rPr>
          <w:rFonts w:hint="eastAsia" w:ascii="仿宋" w:hAnsi="仿宋" w:eastAsia="仿宋"/>
          <w:color w:val="auto"/>
          <w:szCs w:val="32"/>
          <w:highlight w:val="none"/>
          <w:lang w:val="en-US" w:eastAsia="zh-CN"/>
        </w:rPr>
        <w:t>持续推进大伙房流域水污染防治，严格水源保护区管控。加强环境风险防控和应急体系建设，提升水源地环境管控能力，防范环境污染风险。积极推广有机农业，打造大伙房品牌。</w:t>
      </w:r>
      <w:r>
        <w:rPr>
          <w:rFonts w:hint="eastAsia" w:ascii="仿宋" w:hAnsi="仿宋" w:eastAsia="仿宋"/>
          <w:color w:val="auto"/>
          <w:szCs w:val="32"/>
          <w:highlight w:val="none"/>
        </w:rPr>
        <w:t>实施大伙房水库流域生态保护修复，从根本上改善大伙房水库流域的生态环境</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lang w:val="en-US" w:eastAsia="zh-CN"/>
        </w:rPr>
        <w:t>多措并举</w:t>
      </w:r>
      <w:r>
        <w:rPr>
          <w:rFonts w:hint="eastAsia" w:ascii="仿宋" w:hAnsi="仿宋" w:eastAsia="仿宋"/>
          <w:color w:val="auto"/>
          <w:szCs w:val="32"/>
          <w:highlight w:val="none"/>
        </w:rPr>
        <w:t>为辽东绿色经济发展奠定良好的生态基础，推动大伙房流域生态环境保护修复与农业、文旅、康养等产业深度融合，释放生态保护修复红利，成为实现辽东绿色经济发展的新动力，实现真正的“绿水青山就是金山银山”。</w:t>
      </w:r>
    </w:p>
    <w:p>
      <w:pPr>
        <w:pStyle w:val="23"/>
        <w:spacing w:line="600" w:lineRule="exact"/>
        <w:ind w:firstLine="643"/>
        <w:outlineLvl w:val="1"/>
        <w:rPr>
          <w:rFonts w:hint="default" w:asciiTheme="minorEastAsia" w:hAnsiTheme="minorEastAsia" w:eastAsiaTheme="minorEastAsia"/>
          <w:b/>
          <w:bCs/>
          <w:color w:val="auto"/>
          <w:szCs w:val="32"/>
          <w:highlight w:val="none"/>
          <w:lang w:val="en-US" w:eastAsia="zh-CN"/>
        </w:rPr>
      </w:pPr>
      <w:bookmarkStart w:id="32" w:name="_Toc14022"/>
      <w:r>
        <w:rPr>
          <w:rFonts w:hint="eastAsia" w:asciiTheme="minorEastAsia" w:hAnsiTheme="minorEastAsia" w:eastAsiaTheme="minorEastAsia"/>
          <w:b/>
          <w:bCs/>
          <w:color w:val="auto"/>
          <w:szCs w:val="32"/>
          <w:highlight w:val="none"/>
        </w:rPr>
        <w:t>（一）</w:t>
      </w:r>
      <w:r>
        <w:rPr>
          <w:rFonts w:hint="eastAsia" w:asciiTheme="minorEastAsia" w:hAnsiTheme="minorEastAsia" w:eastAsiaTheme="minorEastAsia"/>
          <w:b/>
          <w:bCs/>
          <w:color w:val="auto"/>
          <w:szCs w:val="32"/>
          <w:highlight w:val="none"/>
          <w:lang w:val="en-US" w:eastAsia="zh-CN"/>
        </w:rPr>
        <w:t>保障饮用水水源安全</w:t>
      </w:r>
      <w:bookmarkEnd w:id="32"/>
    </w:p>
    <w:p>
      <w:pPr>
        <w:pStyle w:val="23"/>
        <w:spacing w:line="600" w:lineRule="exact"/>
        <w:ind w:firstLine="640"/>
        <w:rPr>
          <w:rFonts w:hint="eastAsia" w:ascii="仿宋" w:hAnsi="仿宋" w:eastAsia="仿宋"/>
          <w:color w:val="auto"/>
          <w:szCs w:val="32"/>
          <w:highlight w:val="none"/>
          <w:lang w:val="zh-TW"/>
        </w:rPr>
      </w:pPr>
      <w:r>
        <w:rPr>
          <w:rFonts w:hint="eastAsia" w:ascii="楷体" w:hAnsi="楷体" w:eastAsia="楷体" w:cs="仿宋_GB2312"/>
          <w:color w:val="auto"/>
          <w:szCs w:val="32"/>
          <w:highlight w:val="none"/>
          <w:lang w:val="en-US" w:eastAsia="zh-CN"/>
        </w:rPr>
        <w:t>1.提升污水和垃圾收集处理能力。</w:t>
      </w:r>
      <w:r>
        <w:rPr>
          <w:rFonts w:hint="eastAsia" w:ascii="仿宋" w:hAnsi="仿宋" w:eastAsia="仿宋"/>
          <w:color w:val="auto"/>
          <w:szCs w:val="32"/>
          <w:highlight w:val="none"/>
          <w:lang w:val="zh-TW"/>
        </w:rPr>
        <w:t>在大伙房水库二</w:t>
      </w:r>
      <w:r>
        <w:rPr>
          <w:rFonts w:hint="eastAsia" w:ascii="仿宋" w:hAnsi="仿宋" w:eastAsia="仿宋"/>
          <w:color w:val="auto"/>
          <w:szCs w:val="32"/>
          <w:highlight w:val="none"/>
          <w:lang w:val="en-US" w:eastAsia="zh-CN"/>
        </w:rPr>
        <w:t>级</w:t>
      </w:r>
      <w:r>
        <w:rPr>
          <w:rFonts w:hint="eastAsia" w:ascii="仿宋" w:hAnsi="仿宋" w:eastAsia="仿宋"/>
          <w:color w:val="auto"/>
          <w:szCs w:val="32"/>
          <w:highlight w:val="none"/>
          <w:lang w:val="zh-TW"/>
        </w:rPr>
        <w:t>、</w:t>
      </w:r>
      <w:r>
        <w:rPr>
          <w:rFonts w:hint="eastAsia" w:ascii="仿宋" w:hAnsi="仿宋" w:eastAsia="仿宋"/>
          <w:color w:val="auto"/>
          <w:szCs w:val="32"/>
          <w:highlight w:val="none"/>
          <w:lang w:val="en-US" w:eastAsia="zh-CN"/>
        </w:rPr>
        <w:t>准</w:t>
      </w:r>
      <w:r>
        <w:rPr>
          <w:rFonts w:hint="eastAsia" w:ascii="仿宋" w:hAnsi="仿宋" w:eastAsia="仿宋"/>
          <w:color w:val="auto"/>
          <w:szCs w:val="32"/>
          <w:highlight w:val="none"/>
          <w:lang w:val="zh-TW"/>
        </w:rPr>
        <w:t>保护区内的各乡镇拟建集中污水处理系统，削减排放到入库支流的污染物总量，改善大伙房水库水质。实施清原县清原镇和新宾县新宾镇污水处理厂扩建及管网改造工程，逐步实现“雨污分流”</w:t>
      </w:r>
      <w:r>
        <w:rPr>
          <w:rFonts w:hint="eastAsia" w:ascii="仿宋" w:hAnsi="仿宋" w:eastAsia="仿宋"/>
          <w:color w:val="auto"/>
          <w:szCs w:val="32"/>
          <w:highlight w:val="none"/>
          <w:lang w:val="zh-TW" w:eastAsia="zh-CN"/>
        </w:rPr>
        <w:t>。</w:t>
      </w:r>
      <w:r>
        <w:rPr>
          <w:rFonts w:hint="eastAsia" w:ascii="仿宋" w:hAnsi="仿宋" w:eastAsia="仿宋"/>
          <w:color w:val="auto"/>
          <w:szCs w:val="32"/>
          <w:highlight w:val="none"/>
          <w:lang w:val="zh-TW"/>
        </w:rPr>
        <w:t>实施新宾县南杂木镇污水处理厂扩建及管网改造工程，解决污水处理厂处理能力不足、设备设施老化和溢流问题</w:t>
      </w:r>
      <w:r>
        <w:rPr>
          <w:rFonts w:hint="eastAsia" w:ascii="仿宋" w:hAnsi="仿宋" w:eastAsia="仿宋"/>
          <w:color w:val="auto"/>
          <w:szCs w:val="32"/>
          <w:highlight w:val="none"/>
          <w:lang w:val="zh-TW" w:eastAsia="zh-CN"/>
        </w:rPr>
        <w:t>。</w:t>
      </w:r>
      <w:r>
        <w:rPr>
          <w:rFonts w:hint="eastAsia" w:ascii="仿宋" w:hAnsi="仿宋" w:eastAsia="仿宋"/>
          <w:color w:val="auto"/>
          <w:szCs w:val="32"/>
          <w:highlight w:val="none"/>
          <w:lang w:val="zh-TW"/>
        </w:rPr>
        <w:t>实施永陵镇、木奇镇污水处理厂扩建工程</w:t>
      </w:r>
      <w:r>
        <w:rPr>
          <w:rFonts w:hint="eastAsia" w:ascii="仿宋" w:hAnsi="仿宋" w:eastAsia="仿宋"/>
          <w:color w:val="auto"/>
          <w:szCs w:val="32"/>
          <w:highlight w:val="none"/>
          <w:lang w:val="zh-TW" w:eastAsia="zh-CN"/>
        </w:rPr>
        <w:t>，</w:t>
      </w:r>
      <w:r>
        <w:rPr>
          <w:rFonts w:hint="eastAsia" w:ascii="仿宋" w:hAnsi="仿宋" w:eastAsia="仿宋"/>
          <w:color w:val="auto"/>
          <w:szCs w:val="32"/>
          <w:highlight w:val="none"/>
          <w:lang w:val="zh-TW"/>
        </w:rPr>
        <w:t>上夹河镇污水处理厂</w:t>
      </w:r>
      <w:r>
        <w:rPr>
          <w:rFonts w:hint="eastAsia" w:ascii="仿宋" w:hAnsi="仿宋" w:eastAsia="仿宋"/>
          <w:color w:val="auto"/>
          <w:szCs w:val="32"/>
          <w:highlight w:val="none"/>
          <w:lang w:val="en-US" w:eastAsia="zh-CN"/>
        </w:rPr>
        <w:t>提标改造工程</w:t>
      </w:r>
      <w:r>
        <w:rPr>
          <w:rFonts w:hint="eastAsia" w:ascii="仿宋" w:hAnsi="仿宋" w:eastAsia="仿宋"/>
          <w:color w:val="auto"/>
          <w:szCs w:val="32"/>
          <w:highlight w:val="none"/>
          <w:lang w:val="zh-TW"/>
        </w:rPr>
        <w:t>，升级改造后污水处理设施排放标准达到一级A。进一步完善各村庄内的市政配套设施，在</w:t>
      </w:r>
      <w:r>
        <w:rPr>
          <w:rFonts w:hint="eastAsia" w:ascii="仿宋" w:hAnsi="仿宋" w:eastAsia="仿宋"/>
          <w:color w:val="auto"/>
          <w:szCs w:val="32"/>
          <w:highlight w:val="none"/>
          <w:lang w:val="en-US" w:eastAsia="zh-CN"/>
        </w:rPr>
        <w:t>准</w:t>
      </w:r>
      <w:r>
        <w:rPr>
          <w:rFonts w:hint="eastAsia" w:ascii="仿宋" w:hAnsi="仿宋" w:eastAsia="仿宋"/>
          <w:color w:val="auto"/>
          <w:szCs w:val="32"/>
          <w:highlight w:val="none"/>
          <w:lang w:val="zh-TW"/>
        </w:rPr>
        <w:t>保护区或保护区外建立生活垃圾中转站，二级</w:t>
      </w:r>
      <w:r>
        <w:rPr>
          <w:rFonts w:hint="eastAsia" w:ascii="仿宋" w:hAnsi="仿宋" w:eastAsia="仿宋"/>
          <w:color w:val="auto"/>
          <w:szCs w:val="32"/>
          <w:highlight w:val="none"/>
          <w:lang w:val="zh-TW" w:eastAsia="zh-CN"/>
        </w:rPr>
        <w:t>、</w:t>
      </w:r>
      <w:r>
        <w:rPr>
          <w:rFonts w:hint="eastAsia" w:ascii="仿宋" w:hAnsi="仿宋" w:eastAsia="仿宋"/>
          <w:color w:val="auto"/>
          <w:szCs w:val="32"/>
          <w:highlight w:val="none"/>
          <w:lang w:val="en-US" w:eastAsia="zh-CN"/>
        </w:rPr>
        <w:t>准</w:t>
      </w:r>
      <w:r>
        <w:rPr>
          <w:rFonts w:hint="eastAsia" w:ascii="仿宋" w:hAnsi="仿宋" w:eastAsia="仿宋"/>
          <w:color w:val="auto"/>
          <w:szCs w:val="32"/>
          <w:highlight w:val="none"/>
          <w:lang w:val="zh-TW"/>
        </w:rPr>
        <w:t>保护区内的各村庄配备垃圾清运车及垃圾收集箱，建设乡村生活垃圾收运系统，到2025年，农村生活垃圾治理收运处置体系实现全覆盖，农村垃圾分类覆盖率达到98%以上。积极推动农村生活垃圾分类基本实现全覆盖。加快垃圾收运处置设施建设，建设乡村生活垃圾收集、分类、转运系统，配备垃圾清运车及垃圾收集箱，集中转运至二级保护区外进行无害化处理处理处置，保护区内生活垃圾清运率达100%，处理率达到100%。建设东洲区章党镇垃圾转运站一座，实施新宾镇垃圾分选填埋场坝体加固工程，开展清原县清原镇垃圾填埋场升级改造，新建新宾镇生活垃圾填埋场。</w:t>
      </w:r>
    </w:p>
    <w:p>
      <w:pPr>
        <w:pStyle w:val="23"/>
        <w:spacing w:line="600" w:lineRule="exact"/>
        <w:ind w:firstLine="640"/>
        <w:rPr>
          <w:rFonts w:hint="eastAsia" w:ascii="仿宋" w:hAnsi="仿宋" w:eastAsia="仿宋"/>
          <w:color w:val="auto"/>
          <w:szCs w:val="32"/>
          <w:highlight w:val="none"/>
          <w:lang w:val="zh-TW"/>
        </w:rPr>
      </w:pPr>
    </w:p>
    <w:p>
      <w:pPr>
        <w:pStyle w:val="23"/>
        <w:spacing w:line="600" w:lineRule="exact"/>
        <w:ind w:firstLine="640"/>
        <w:rPr>
          <w:rFonts w:hint="eastAsia" w:ascii="仿宋" w:hAnsi="仿宋" w:eastAsia="仿宋"/>
          <w:color w:val="auto"/>
          <w:szCs w:val="32"/>
          <w:highlight w:val="none"/>
          <w:lang w:val="zh-TW"/>
        </w:rPr>
      </w:pPr>
    </w:p>
    <w:p>
      <w:pPr>
        <w:pStyle w:val="23"/>
        <w:spacing w:line="600" w:lineRule="exact"/>
        <w:ind w:firstLine="640"/>
        <w:rPr>
          <w:rFonts w:hint="eastAsia" w:ascii="仿宋" w:hAnsi="仿宋" w:eastAsia="仿宋"/>
          <w:color w:val="auto"/>
          <w:szCs w:val="32"/>
          <w:highlight w:val="none"/>
          <w:lang w:val="zh-TW"/>
        </w:rPr>
      </w:pPr>
    </w:p>
    <w:tbl>
      <w:tblPr>
        <w:tblStyle w:val="24"/>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217" w:type="dxa"/>
          </w:tcPr>
          <w:p>
            <w:pPr>
              <w:spacing w:line="400" w:lineRule="exact"/>
              <w:jc w:val="center"/>
              <w:rPr>
                <w:color w:val="auto"/>
                <w:sz w:val="24"/>
                <w:highlight w:val="none"/>
              </w:rPr>
            </w:pPr>
            <w:r>
              <w:rPr>
                <w:rFonts w:hint="eastAsia" w:ascii="楷体" w:hAnsi="楷体" w:eastAsia="楷体" w:cs="仿宋"/>
                <w:b/>
                <w:bCs/>
                <w:color w:val="auto"/>
                <w:sz w:val="28"/>
                <w:szCs w:val="28"/>
                <w:highlight w:val="none"/>
              </w:rPr>
              <w:t>专栏</w:t>
            </w:r>
            <w:r>
              <w:rPr>
                <w:rFonts w:hint="eastAsia" w:ascii="楷体" w:hAnsi="楷体" w:eastAsia="楷体" w:cs="仿宋"/>
                <w:b/>
                <w:bCs/>
                <w:color w:val="auto"/>
                <w:sz w:val="28"/>
                <w:szCs w:val="28"/>
                <w:highlight w:val="none"/>
                <w:lang w:val="en-US" w:eastAsia="zh-CN"/>
              </w:rPr>
              <w:t>5</w:t>
            </w:r>
            <w:r>
              <w:rPr>
                <w:rFonts w:hint="eastAsia" w:ascii="楷体" w:hAnsi="楷体" w:eastAsia="楷体" w:cs="仿宋"/>
                <w:b/>
                <w:bCs/>
                <w:color w:val="auto"/>
                <w:sz w:val="28"/>
                <w:szCs w:val="28"/>
                <w:highlight w:val="none"/>
              </w:rPr>
              <w:t>：提升污水和垃圾收集处理能力重点项目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217" w:type="dxa"/>
          </w:tcPr>
          <w:p>
            <w:pPr>
              <w:numPr>
                <w:ilvl w:val="0"/>
                <w:numId w:val="6"/>
              </w:numPr>
              <w:spacing w:line="400" w:lineRule="exact"/>
              <w:ind w:left="283" w:leftChars="0" w:hanging="283" w:firstLineChars="0"/>
              <w:jc w:val="left"/>
              <w:rPr>
                <w:rFonts w:hint="eastAsia"/>
                <w:color w:val="auto"/>
                <w:highlight w:val="none"/>
                <w:lang w:val="en-US" w:eastAsia="zh-CN"/>
              </w:rPr>
            </w:pPr>
            <w:r>
              <w:rPr>
                <w:rFonts w:hint="eastAsia"/>
                <w:color w:val="auto"/>
                <w:highlight w:val="none"/>
                <w:lang w:val="en-US" w:eastAsia="zh-CN"/>
              </w:rPr>
              <w:t>大伙房饮用水水源保护区苏子河流域配套工程--新宾县南杂木镇污水处理厂扩建工程</w:t>
            </w:r>
          </w:p>
          <w:p>
            <w:pPr>
              <w:numPr>
                <w:ilvl w:val="0"/>
                <w:numId w:val="6"/>
              </w:numPr>
              <w:spacing w:line="400" w:lineRule="exact"/>
              <w:ind w:left="283" w:leftChars="0" w:hanging="283" w:firstLineChars="0"/>
              <w:jc w:val="left"/>
              <w:rPr>
                <w:rFonts w:hint="eastAsia"/>
                <w:color w:val="auto"/>
                <w:highlight w:val="none"/>
                <w:lang w:val="en-US" w:eastAsia="zh-CN"/>
              </w:rPr>
            </w:pPr>
            <w:r>
              <w:rPr>
                <w:rFonts w:hint="eastAsia"/>
                <w:color w:val="auto"/>
                <w:highlight w:val="none"/>
                <w:lang w:val="en-US" w:eastAsia="zh-CN"/>
              </w:rPr>
              <w:t>大伙房饮用水水源保护区苏子河流域配套工程--新宾县永陵镇污水处理厂扩建工程</w:t>
            </w:r>
          </w:p>
          <w:p>
            <w:pPr>
              <w:numPr>
                <w:ilvl w:val="0"/>
                <w:numId w:val="6"/>
              </w:numPr>
              <w:spacing w:line="400" w:lineRule="exact"/>
              <w:ind w:left="283" w:leftChars="0" w:hanging="283" w:firstLineChars="0"/>
              <w:jc w:val="left"/>
              <w:rPr>
                <w:rFonts w:hint="eastAsia"/>
                <w:color w:val="auto"/>
                <w:highlight w:val="none"/>
                <w:lang w:val="en-US" w:eastAsia="zh-CN"/>
              </w:rPr>
            </w:pPr>
            <w:r>
              <w:rPr>
                <w:rFonts w:hint="eastAsia"/>
                <w:color w:val="auto"/>
                <w:highlight w:val="none"/>
                <w:lang w:val="en-US" w:eastAsia="zh-CN"/>
              </w:rPr>
              <w:t>大伙房饮用水水源保护区苏子河流域配套工程--新宾镇污水处理厂扩建及管网改造工程</w:t>
            </w:r>
          </w:p>
          <w:p>
            <w:pPr>
              <w:numPr>
                <w:ilvl w:val="0"/>
                <w:numId w:val="6"/>
              </w:numPr>
              <w:spacing w:line="400" w:lineRule="exact"/>
              <w:ind w:left="283" w:leftChars="0" w:hanging="283" w:firstLineChars="0"/>
              <w:jc w:val="left"/>
              <w:rPr>
                <w:rFonts w:hint="default"/>
                <w:color w:val="auto"/>
                <w:highlight w:val="none"/>
                <w:lang w:val="en-US" w:eastAsia="zh-CN"/>
              </w:rPr>
            </w:pPr>
            <w:r>
              <w:rPr>
                <w:rFonts w:hint="eastAsia"/>
                <w:color w:val="auto"/>
                <w:highlight w:val="none"/>
                <w:lang w:val="en-US" w:eastAsia="zh-CN"/>
              </w:rPr>
              <w:t>大伙房饮用水水源保护区苏子河流域配套工程--苏子河穆家拦河坝至入库口输水河道沿岸新建筑坝防护隔离工程(生态护岸）</w:t>
            </w:r>
          </w:p>
        </w:tc>
      </w:tr>
    </w:tbl>
    <w:p>
      <w:pPr>
        <w:pStyle w:val="23"/>
        <w:spacing w:line="600" w:lineRule="exact"/>
        <w:ind w:firstLine="640"/>
        <w:rPr>
          <w:rFonts w:hint="eastAsia" w:ascii="仿宋" w:hAnsi="仿宋" w:eastAsia="仿宋"/>
          <w:color w:val="auto"/>
          <w:szCs w:val="32"/>
          <w:highlight w:val="none"/>
          <w:lang w:val="zh-TW"/>
        </w:rPr>
      </w:pPr>
      <w:r>
        <w:rPr>
          <w:rFonts w:hint="eastAsia" w:ascii="楷体" w:hAnsi="楷体" w:eastAsia="楷体" w:cs="仿宋_GB2312"/>
          <w:bCs/>
          <w:color w:val="auto"/>
          <w:szCs w:val="32"/>
          <w:highlight w:val="none"/>
          <w:lang w:val="en-US" w:eastAsia="zh-CN"/>
        </w:rPr>
        <w:t>2.加强畜禽养殖污染治理。</w:t>
      </w:r>
      <w:r>
        <w:rPr>
          <w:rFonts w:hint="eastAsia" w:ascii="仿宋" w:hAnsi="仿宋" w:eastAsia="仿宋"/>
          <w:color w:val="auto"/>
          <w:szCs w:val="32"/>
          <w:highlight w:val="none"/>
          <w:lang w:val="en-US" w:eastAsia="zh-CN"/>
        </w:rPr>
        <w:t>合理优化畜禽养殖布局。根据主体功能定位、“三线一单”管控要求、禁养区划定方案、畜禽养殖总量控制目标，优化种养结合空间布局，科学划定养殖区域。加强畜禽养殖污染治理。推广节水、节料等清洁养殖工艺和雨污分离、干清粪、微生物发酵等实用技术，实现畜禽养殖污染源头减量。现有规模化畜禽养殖场（小区）配套建设粪便污水贮存处理设施，完善废渣储存设施和场所的配套建设和改造，并自主开展出水监测</w:t>
      </w:r>
      <w:r>
        <w:rPr>
          <w:rFonts w:hint="eastAsia" w:ascii="仿宋" w:hAnsi="仿宋" w:eastAsia="仿宋"/>
          <w:color w:val="auto"/>
          <w:szCs w:val="32"/>
          <w:highlight w:val="none"/>
          <w:lang w:val="zh-TW"/>
        </w:rPr>
        <w:t>。推进畜禽养殖粪污资源化利用。推广使用规模化养殖场小型有机肥加工设备，规模养殖场畜禽粪污基本实现资源化利用；推广使用适用于规模以下养殖户和密集区的粪污贮存和处理设施，逐步实现规模以下养殖场户粪便污水分户收集、集中处理和资源化利用，畜禽粪污综合利用率达到80%以上</w:t>
      </w:r>
      <w:r>
        <w:rPr>
          <w:rFonts w:hint="eastAsia" w:ascii="仿宋" w:hAnsi="仿宋" w:eastAsia="仿宋"/>
          <w:color w:val="auto"/>
          <w:szCs w:val="32"/>
          <w:highlight w:val="none"/>
          <w:lang w:val="zh-TW" w:eastAsia="zh-CN"/>
        </w:rPr>
        <w:t>。</w:t>
      </w:r>
      <w:r>
        <w:rPr>
          <w:rFonts w:hint="eastAsia" w:ascii="仿宋" w:hAnsi="仿宋" w:eastAsia="仿宋"/>
          <w:color w:val="auto"/>
          <w:szCs w:val="32"/>
          <w:highlight w:val="none"/>
          <w:lang w:val="zh-TW"/>
        </w:rPr>
        <w:t>完善畜禽粪污收储运体系，建设畜禽粪污集中收储点</w:t>
      </w:r>
      <w:r>
        <w:rPr>
          <w:rFonts w:hint="eastAsia" w:ascii="仿宋" w:hAnsi="仿宋" w:eastAsia="仿宋"/>
          <w:color w:val="auto"/>
          <w:szCs w:val="32"/>
          <w:highlight w:val="none"/>
          <w:lang w:val="zh-TW" w:eastAsia="zh-CN"/>
        </w:rPr>
        <w:t>。</w:t>
      </w:r>
      <w:r>
        <w:rPr>
          <w:rFonts w:hint="eastAsia" w:ascii="仿宋" w:hAnsi="仿宋" w:eastAsia="仿宋"/>
          <w:color w:val="auto"/>
          <w:szCs w:val="32"/>
          <w:highlight w:val="none"/>
          <w:lang w:val="zh-TW"/>
        </w:rPr>
        <w:t>加快发展畜禽粪污处理利用社会化服务组织，探索科学运营管理模式。加强畜禽养殖废弃物资源化利用监管，到2025年规模养殖场畜禽粪污资源化利用台账覆盖率达到100%，并将规模养殖场环境执法纳入“双随机、一公开”检查清单。</w:t>
      </w:r>
    </w:p>
    <w:p>
      <w:pPr>
        <w:pStyle w:val="23"/>
        <w:spacing w:line="600" w:lineRule="exact"/>
        <w:ind w:firstLine="643"/>
        <w:outlineLvl w:val="1"/>
        <w:rPr>
          <w:rFonts w:asciiTheme="minorEastAsia" w:hAnsiTheme="minorEastAsia" w:eastAsiaTheme="minorEastAsia"/>
          <w:b/>
          <w:bCs/>
          <w:color w:val="auto"/>
          <w:szCs w:val="32"/>
          <w:highlight w:val="none"/>
        </w:rPr>
      </w:pPr>
      <w:bookmarkStart w:id="33" w:name="_Toc17957"/>
      <w:r>
        <w:rPr>
          <w:rFonts w:hint="eastAsia" w:asciiTheme="minorEastAsia" w:hAnsiTheme="minorEastAsia" w:eastAsiaTheme="minorEastAsia"/>
          <w:b/>
          <w:bCs/>
          <w:color w:val="auto"/>
          <w:szCs w:val="32"/>
          <w:highlight w:val="none"/>
        </w:rPr>
        <w:t>（</w:t>
      </w:r>
      <w:r>
        <w:rPr>
          <w:rFonts w:hint="eastAsia" w:asciiTheme="minorEastAsia" w:hAnsiTheme="minorEastAsia" w:eastAsiaTheme="minorEastAsia"/>
          <w:b/>
          <w:bCs/>
          <w:color w:val="auto"/>
          <w:szCs w:val="32"/>
          <w:highlight w:val="none"/>
          <w:lang w:val="en-US" w:eastAsia="zh-CN"/>
        </w:rPr>
        <w:t>二</w:t>
      </w:r>
      <w:r>
        <w:rPr>
          <w:rFonts w:hint="eastAsia" w:asciiTheme="minorEastAsia" w:hAnsiTheme="minorEastAsia" w:eastAsiaTheme="minorEastAsia"/>
          <w:b/>
          <w:bCs/>
          <w:color w:val="auto"/>
          <w:szCs w:val="32"/>
          <w:highlight w:val="none"/>
        </w:rPr>
        <w:t>）</w:t>
      </w:r>
      <w:r>
        <w:rPr>
          <w:rFonts w:hint="eastAsia" w:asciiTheme="minorEastAsia" w:hAnsiTheme="minorEastAsia" w:eastAsiaTheme="minorEastAsia"/>
          <w:b/>
          <w:bCs/>
          <w:color w:val="auto"/>
          <w:szCs w:val="32"/>
          <w:highlight w:val="none"/>
          <w:lang w:val="en-US" w:eastAsia="zh-CN"/>
        </w:rPr>
        <w:t>防范</w:t>
      </w:r>
      <w:r>
        <w:rPr>
          <w:rFonts w:hint="eastAsia" w:asciiTheme="minorEastAsia" w:hAnsiTheme="minorEastAsia" w:eastAsiaTheme="minorEastAsia"/>
          <w:b/>
          <w:bCs/>
          <w:color w:val="auto"/>
          <w:szCs w:val="32"/>
          <w:highlight w:val="none"/>
        </w:rPr>
        <w:t>水源地环境污染风险</w:t>
      </w:r>
      <w:bookmarkEnd w:id="33"/>
    </w:p>
    <w:p>
      <w:pPr>
        <w:pStyle w:val="23"/>
        <w:spacing w:line="600" w:lineRule="exact"/>
        <w:ind w:firstLine="640"/>
        <w:rPr>
          <w:rFonts w:hint="eastAsia" w:ascii="仿宋" w:hAnsi="仿宋" w:eastAsia="仿宋"/>
          <w:color w:val="auto"/>
          <w:szCs w:val="32"/>
          <w:highlight w:val="none"/>
        </w:rPr>
      </w:pPr>
      <w:r>
        <w:rPr>
          <w:rFonts w:hint="eastAsia" w:ascii="楷体" w:hAnsi="楷体" w:eastAsia="楷体" w:cs="仿宋_GB2312"/>
          <w:bCs/>
          <w:color w:val="auto"/>
          <w:szCs w:val="32"/>
          <w:highlight w:val="none"/>
          <w:lang w:val="en-US" w:eastAsia="zh-CN"/>
        </w:rPr>
        <w:t>1.</w:t>
      </w:r>
      <w:r>
        <w:rPr>
          <w:rFonts w:hint="eastAsia" w:ascii="楷体" w:hAnsi="楷体" w:eastAsia="楷体" w:cs="仿宋_GB2312"/>
          <w:color w:val="auto"/>
          <w:szCs w:val="32"/>
          <w:highlight w:val="none"/>
          <w:lang w:val="zh-TW" w:eastAsia="zh-TW"/>
        </w:rPr>
        <w:t>落实“一河一策一图”要求</w:t>
      </w:r>
      <w:r>
        <w:rPr>
          <w:rFonts w:hint="eastAsia" w:ascii="楷体" w:hAnsi="楷体" w:eastAsia="楷体" w:cs="仿宋_GB2312"/>
          <w:color w:val="auto"/>
          <w:szCs w:val="32"/>
          <w:highlight w:val="none"/>
          <w:lang w:val="zh-TW" w:eastAsia="zh-CN"/>
        </w:rPr>
        <w:t>。</w:t>
      </w:r>
      <w:r>
        <w:rPr>
          <w:rFonts w:hint="eastAsia" w:ascii="仿宋" w:hAnsi="仿宋" w:eastAsia="仿宋"/>
          <w:color w:val="auto"/>
          <w:szCs w:val="32"/>
          <w:highlight w:val="none"/>
        </w:rPr>
        <w:t>以防范流域突发水污染事件环境风险为目标，借鉴“南阳实践”经验，按照“以空间换时间”为原则，开展流域环境风险源、敏感受体、环境应急设施等基础情况调查，编制大伙房水库“一河一策一图”环境应急处置预案，提出突发水污染事件情景下源头切断、污染截蓄、污染降解等应急处置措施</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rPr>
        <w:t>结合已有污染物截流、导流、储存，以及药物投放、污染物稀释等应急设施和场所，按需新建部分闸坝、防污沟、导污渠、集污池、截污管道、应急</w:t>
      </w:r>
      <w:r>
        <w:rPr>
          <w:rFonts w:hint="eastAsia" w:ascii="仿宋" w:hAnsi="仿宋" w:eastAsia="仿宋"/>
          <w:color w:val="auto"/>
          <w:szCs w:val="32"/>
          <w:highlight w:val="none"/>
          <w:lang w:eastAsia="zh-CN"/>
        </w:rPr>
        <w:t>物资</w:t>
      </w:r>
      <w:r>
        <w:rPr>
          <w:rFonts w:hint="eastAsia" w:ascii="仿宋" w:hAnsi="仿宋" w:eastAsia="仿宋"/>
          <w:color w:val="auto"/>
          <w:szCs w:val="32"/>
          <w:highlight w:val="none"/>
        </w:rPr>
        <w:t>储备库等必要应急设施，形成流域环境突发水污染事件风险防控和应急处置工程体系</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lang w:val="en-US" w:eastAsia="zh-CN"/>
        </w:rPr>
        <w:t>建立大伙房饮用水水源地精细化管理平台，动态加密河道水质监测频次。</w:t>
      </w:r>
      <w:r>
        <w:rPr>
          <w:rFonts w:hint="eastAsia" w:ascii="仿宋" w:hAnsi="仿宋" w:eastAsia="仿宋"/>
          <w:color w:val="auto"/>
          <w:szCs w:val="32"/>
          <w:highlight w:val="none"/>
        </w:rPr>
        <w:t>建设流域突发水污染事件环境应急处置信息平台，组织开展应急演练，实现河流风险防控措施全覆盖，提高处置突发环境事件能力。树立水源地保护“一盘棋”思维。强化部门间地沟通协调，探索建立健全信息沟通和数据共享机制，落实“水源—取水—生产水—水龙头”全过程监管。</w:t>
      </w:r>
    </w:p>
    <w:p>
      <w:pPr>
        <w:pStyle w:val="23"/>
        <w:spacing w:line="600" w:lineRule="exact"/>
        <w:ind w:firstLine="640"/>
        <w:rPr>
          <w:rFonts w:hint="eastAsia" w:ascii="仿宋" w:hAnsi="仿宋" w:eastAsia="仿宋"/>
          <w:color w:val="auto"/>
          <w:szCs w:val="32"/>
          <w:highlight w:val="none"/>
          <w:lang w:val="en-US" w:eastAsia="zh-CN"/>
        </w:rPr>
      </w:pPr>
      <w:r>
        <w:rPr>
          <w:rFonts w:hint="eastAsia" w:ascii="楷体" w:hAnsi="楷体" w:eastAsia="楷体" w:cs="仿宋_GB2312"/>
          <w:bCs/>
          <w:color w:val="auto"/>
          <w:szCs w:val="32"/>
          <w:highlight w:val="none"/>
          <w:lang w:val="en-US" w:eastAsia="zh-CN"/>
        </w:rPr>
        <w:t>2.加强尾矿库环境风险防控。</w:t>
      </w:r>
      <w:r>
        <w:rPr>
          <w:rFonts w:hint="eastAsia" w:ascii="仿宋" w:hAnsi="仿宋" w:eastAsia="仿宋"/>
          <w:color w:val="auto"/>
          <w:szCs w:val="32"/>
          <w:highlight w:val="none"/>
          <w:lang w:val="en-US" w:eastAsia="zh-CN"/>
        </w:rPr>
        <w:t>在前期尾矿库排查的基础上，对于在用的尾矿库存在溃坝、渗流破坏、尾矿浆泄露、有毒有害物质泄露、矿区地质灾害、扬尘、水土流失等隐患，通过坝体整治及坡面排水工程、排洪截洪工程、绿化工程、集水池及事故池、设置监测设施、坝基截防渗工程等措施进行治理。对废弃、停产以及闭矿尾矿库进行综合治理，恢复矿区生态，消除环境风险隐患。加快尾矿库“头顶库”综合治理。督流域内企业完善环境隐患排查整治制度，组织开展环境应急演练和预案培训，储备必要的环境应急物资。完善突发环境事件区域联动机制，切实提高突发环境污染事件应急处置能力。</w:t>
      </w:r>
    </w:p>
    <w:p>
      <w:pPr>
        <w:pStyle w:val="23"/>
        <w:spacing w:line="600" w:lineRule="exact"/>
        <w:ind w:firstLine="640"/>
        <w:rPr>
          <w:rFonts w:hint="eastAsia" w:ascii="仿宋" w:hAnsi="仿宋" w:eastAsia="仿宋"/>
          <w:color w:val="auto"/>
          <w:szCs w:val="32"/>
          <w:highlight w:val="none"/>
          <w:lang w:val="en-US" w:eastAsia="zh-CN"/>
        </w:rPr>
      </w:pPr>
      <w:bookmarkStart w:id="34" w:name="_Toc84584293"/>
      <w:r>
        <w:rPr>
          <w:rFonts w:hint="eastAsia" w:ascii="楷体" w:hAnsi="楷体" w:eastAsia="楷体" w:cs="仿宋_GB2312"/>
          <w:bCs/>
          <w:color w:val="auto"/>
          <w:szCs w:val="32"/>
          <w:highlight w:val="none"/>
          <w:lang w:val="en-US" w:eastAsia="zh-CN"/>
        </w:rPr>
        <w:t>3.防控道路运输环境风险</w:t>
      </w:r>
      <w:bookmarkEnd w:id="34"/>
      <w:r>
        <w:rPr>
          <w:rFonts w:hint="eastAsia" w:ascii="楷体" w:hAnsi="楷体" w:eastAsia="楷体" w:cs="仿宋_GB2312"/>
          <w:bCs/>
          <w:color w:val="auto"/>
          <w:szCs w:val="32"/>
          <w:highlight w:val="none"/>
          <w:lang w:val="en-US" w:eastAsia="zh-CN"/>
        </w:rPr>
        <w:t>。</w:t>
      </w:r>
      <w:r>
        <w:rPr>
          <w:rFonts w:hint="eastAsia" w:ascii="仿宋" w:hAnsi="仿宋" w:eastAsia="仿宋"/>
          <w:color w:val="auto"/>
          <w:szCs w:val="32"/>
          <w:highlight w:val="none"/>
          <w:lang w:val="en-US" w:eastAsia="zh-CN"/>
        </w:rPr>
        <w:t>加强穿越保护区的危险品运输车辆管控。严格执行《危险化学品安全管理条例》规定，制订《抚顺市危险化学品运输车辆穿越饮用水水源保护区道路安全监管暂行规定》。严格禁止有毒、有害、易泄漏危险品运输车辆通行穿越饮用水水源一级保护区，二级保护区内具备绕行条件的路段原则上禁止危险品运输车辆通行，确需由公路穿越二级保护区的，须报请相关部门批准，确保运输安全。严格落实视频监控管理，加强监督检查，实行登记管理、运输全程监控，防止车辆漏油、物品散落等；建立违规违章数据资源共享机制，提高打击力度。提升道路运输环境风险防范和应急能力。进一步完善水源保护一、二级区范围内道路运输环境风险防范设施建设情况，在水源保护区范围内公路和跨线桥两侧设置警示牌、限速牌、防撞护栏等，提高事故风险防范能力。进一步完善道路排水边沟、调蓄池，以及桥梁导流槽、应急池等风险应急设施，收集运输危险品车辆发生事故后的泄漏物、次生污染物及桥面径流污染物，严防污染物进入饮用水水源。定期对已建成的交通标志、应急设施进行排查，加强日常维护管理，确保安全可用。县级以上人民政府应当加强对危险化学品道路运输安全管理工作的领导，组织有关部门制定饮用水水源保护区道路危险化学品运输车辆事故应急救援处置预案，建立应急救援体系，每年组织不少于一次的应急演练。</w:t>
      </w:r>
    </w:p>
    <w:p>
      <w:pPr>
        <w:pStyle w:val="23"/>
        <w:spacing w:line="600" w:lineRule="exact"/>
        <w:ind w:firstLine="640"/>
        <w:rPr>
          <w:rFonts w:hint="eastAsia" w:ascii="仿宋" w:hAnsi="仿宋" w:eastAsia="仿宋"/>
          <w:color w:val="auto"/>
          <w:szCs w:val="32"/>
          <w:highlight w:val="none"/>
          <w:lang w:val="en-US" w:eastAsia="zh-CN"/>
        </w:rPr>
      </w:pPr>
      <w:r>
        <w:rPr>
          <w:rFonts w:hint="eastAsia" w:ascii="楷体" w:hAnsi="楷体" w:eastAsia="楷体" w:cs="仿宋_GB2312"/>
          <w:bCs/>
          <w:color w:val="auto"/>
          <w:szCs w:val="32"/>
          <w:highlight w:val="none"/>
          <w:lang w:val="en-US" w:eastAsia="zh-CN"/>
        </w:rPr>
        <w:t>4.防控垃圾填埋场环境风险。</w:t>
      </w:r>
      <w:r>
        <w:rPr>
          <w:rFonts w:hint="eastAsia" w:ascii="仿宋" w:hAnsi="仿宋" w:eastAsia="仿宋"/>
          <w:color w:val="auto"/>
          <w:szCs w:val="32"/>
          <w:highlight w:val="none"/>
          <w:lang w:val="en-US" w:eastAsia="zh-CN"/>
        </w:rPr>
        <w:t>完善垃圾填埋设施建设。完善防渗系统、排污系统、地下水导排系统、渗滤液收排系统、集排气系统等设施建设，推进超限垃圾填埋场封场处理工作，定期对垃圾填埋场进行坝体加高加固、坝体和边坡进行防渗处理。规范垃圾填埋厂运行管理。加强垃圾填埋场监管，加大汛期巡查频次，做好检查维护。健全人员到岗、检查登记管理、设备设施运行、隐患排查等责任管制，完善操作规程，严格执行作业标准，确保正常有效运行。</w:t>
      </w:r>
    </w:p>
    <w:p>
      <w:pPr>
        <w:pStyle w:val="23"/>
        <w:spacing w:line="600" w:lineRule="exact"/>
        <w:ind w:firstLine="643"/>
        <w:outlineLvl w:val="1"/>
        <w:rPr>
          <w:rFonts w:asciiTheme="minorEastAsia" w:hAnsiTheme="minorEastAsia" w:eastAsiaTheme="minorEastAsia"/>
          <w:b/>
          <w:bCs/>
          <w:color w:val="auto"/>
          <w:szCs w:val="32"/>
          <w:highlight w:val="none"/>
          <w:lang w:val="zh-TW"/>
        </w:rPr>
      </w:pPr>
      <w:bookmarkStart w:id="35" w:name="_Toc21127"/>
      <w:r>
        <w:rPr>
          <w:rFonts w:hint="eastAsia" w:asciiTheme="minorEastAsia" w:hAnsiTheme="minorEastAsia" w:eastAsiaTheme="minorEastAsia"/>
          <w:b/>
          <w:bCs/>
          <w:color w:val="auto"/>
          <w:szCs w:val="32"/>
          <w:highlight w:val="none"/>
          <w:lang w:val="zh-TW"/>
        </w:rPr>
        <w:t>（</w:t>
      </w:r>
      <w:r>
        <w:rPr>
          <w:rFonts w:hint="eastAsia" w:asciiTheme="minorEastAsia" w:hAnsiTheme="minorEastAsia" w:eastAsiaTheme="minorEastAsia"/>
          <w:b/>
          <w:bCs/>
          <w:color w:val="auto"/>
          <w:szCs w:val="32"/>
          <w:highlight w:val="none"/>
          <w:lang w:val="en-US" w:eastAsia="zh-CN"/>
        </w:rPr>
        <w:t>三</w:t>
      </w:r>
      <w:r>
        <w:rPr>
          <w:rFonts w:hint="eastAsia" w:asciiTheme="minorEastAsia" w:hAnsiTheme="minorEastAsia" w:eastAsiaTheme="minorEastAsia"/>
          <w:b/>
          <w:bCs/>
          <w:color w:val="auto"/>
          <w:szCs w:val="32"/>
          <w:highlight w:val="none"/>
        </w:rPr>
        <w:t>）</w:t>
      </w:r>
      <w:r>
        <w:rPr>
          <w:rFonts w:hint="eastAsia" w:asciiTheme="minorEastAsia" w:hAnsiTheme="minorEastAsia" w:eastAsiaTheme="minorEastAsia"/>
          <w:b/>
          <w:bCs/>
          <w:color w:val="auto"/>
          <w:szCs w:val="32"/>
          <w:highlight w:val="none"/>
          <w:lang w:val="zh-TW"/>
        </w:rPr>
        <w:t>开展保护区生态保护修复</w:t>
      </w:r>
      <w:bookmarkEnd w:id="35"/>
    </w:p>
    <w:p>
      <w:pPr>
        <w:pStyle w:val="23"/>
        <w:spacing w:line="600" w:lineRule="exact"/>
        <w:ind w:firstLine="640"/>
        <w:rPr>
          <w:rFonts w:hint="eastAsia" w:ascii="仿宋" w:hAnsi="仿宋" w:eastAsia="仿宋"/>
          <w:color w:val="auto"/>
          <w:szCs w:val="32"/>
          <w:highlight w:val="none"/>
        </w:rPr>
      </w:pPr>
      <w:r>
        <w:rPr>
          <w:rFonts w:hint="eastAsia" w:ascii="楷体" w:hAnsi="楷体" w:eastAsia="楷体" w:cs="仿宋_GB2312"/>
          <w:bCs/>
          <w:color w:val="auto"/>
          <w:szCs w:val="32"/>
          <w:highlight w:val="none"/>
          <w:lang w:val="en-US" w:eastAsia="zh-CN"/>
        </w:rPr>
        <w:t>1.提升流域水源涵养能力。</w:t>
      </w:r>
      <w:r>
        <w:rPr>
          <w:rFonts w:hint="eastAsia" w:ascii="仿宋" w:hAnsi="仿宋" w:eastAsia="仿宋"/>
          <w:color w:val="auto"/>
          <w:szCs w:val="32"/>
          <w:highlight w:val="none"/>
        </w:rPr>
        <w:t>以提高森林水源涵养能力为目的，通过实施封山育林、造林补植和低效林改造等措施，保护和培育森林资源、增加植被覆盖度；严格按着国家和省相关规定，严格执行公益林和天然林保护政策；在生态公益林区内实施造林、中幼林抚育、低效林改造，开展大伙房汇水流域水源涵养林建设保护，改善水源涵养林林分质量，提高森林植被的水源涵养效能。</w:t>
      </w:r>
    </w:p>
    <w:p>
      <w:pPr>
        <w:pStyle w:val="23"/>
        <w:spacing w:line="600" w:lineRule="exact"/>
        <w:ind w:firstLine="640"/>
        <w:rPr>
          <w:rFonts w:hint="default" w:ascii="仿宋" w:hAnsi="仿宋" w:eastAsia="仿宋"/>
          <w:color w:val="auto"/>
          <w:szCs w:val="32"/>
          <w:highlight w:val="none"/>
          <w:lang w:val="en-US" w:eastAsia="zh-CN"/>
        </w:rPr>
      </w:pPr>
      <w:r>
        <w:rPr>
          <w:rFonts w:hint="eastAsia" w:ascii="楷体" w:hAnsi="楷体" w:eastAsia="楷体" w:cs="仿宋_GB2312"/>
          <w:bCs/>
          <w:color w:val="auto"/>
          <w:szCs w:val="32"/>
          <w:highlight w:val="none"/>
          <w:lang w:val="en-US" w:eastAsia="zh-CN"/>
        </w:rPr>
        <w:t>2.推进美丽河湖保护与建设。</w:t>
      </w:r>
      <w:r>
        <w:rPr>
          <w:rFonts w:hint="eastAsia" w:ascii="仿宋" w:hAnsi="仿宋" w:eastAsia="仿宋"/>
          <w:color w:val="auto"/>
          <w:szCs w:val="32"/>
          <w:highlight w:val="none"/>
        </w:rPr>
        <w:t>开展河道生态综合治理。在确保行洪安全的前提下，按照生物措施与工程措施相结合、乔木和灌木相结合的原则，开展河岸整治、基底修复、构筑绿化隔离带，全面开展浑河、苏子河、社河等干流及流域面积在10平方公里以上支流的河道生态综合治理。实施河道生态封育工程。在社河干支流</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rPr>
        <w:t>苏子河穆家拦河坝至入库口输水河道建设围栏，促进河流生态自然修复，减少河流两岸水土流失，逐步形成综合防护体系。建设河流生态缓冲带和生态湿地。开展入库河流干支流生态缓冲带建设。结合抚顺社河国家湿地公园建设，在主要河流入库口上游较大的村庄等区域河段，规划建设生态湿地，恢复湿地植被100公顷。</w:t>
      </w:r>
      <w:r>
        <w:rPr>
          <w:rFonts w:hint="eastAsia" w:ascii="仿宋" w:hAnsi="仿宋" w:eastAsia="仿宋"/>
          <w:color w:val="auto"/>
          <w:szCs w:val="32"/>
          <w:highlight w:val="none"/>
          <w:lang w:val="en-US" w:eastAsia="zh-CN"/>
        </w:rPr>
        <w:t>精准识别主要问题症结，实施大伙房水库水环境治理、生态缓冲带、生态多样性保护等措施，建设美丽湖库。</w:t>
      </w:r>
    </w:p>
    <w:p>
      <w:pPr>
        <w:pStyle w:val="23"/>
        <w:spacing w:line="600" w:lineRule="exact"/>
        <w:ind w:firstLine="640"/>
        <w:rPr>
          <w:rFonts w:hint="eastAsia" w:ascii="仿宋" w:hAnsi="仿宋" w:eastAsia="仿宋"/>
          <w:color w:val="auto"/>
          <w:szCs w:val="32"/>
          <w:highlight w:val="none"/>
        </w:rPr>
      </w:pPr>
      <w:r>
        <w:rPr>
          <w:rFonts w:hint="eastAsia" w:ascii="楷体" w:hAnsi="楷体" w:eastAsia="楷体" w:cs="仿宋_GB2312"/>
          <w:bCs/>
          <w:color w:val="auto"/>
          <w:szCs w:val="32"/>
          <w:highlight w:val="none"/>
          <w:lang w:val="en-US" w:eastAsia="zh-CN"/>
        </w:rPr>
        <w:t>3.实施小流域综合整治。</w:t>
      </w:r>
      <w:r>
        <w:rPr>
          <w:rFonts w:hint="eastAsia" w:ascii="仿宋" w:hAnsi="仿宋" w:eastAsia="仿宋"/>
          <w:color w:val="auto"/>
          <w:szCs w:val="32"/>
          <w:highlight w:val="none"/>
        </w:rPr>
        <w:t>实施50平方公里以下小流域综合治理，采取自然恢复和辅助再生的修复方式，实施包括修建固滨笼谷坊、沟道防护、填沟造地、标志牌、生物修复等</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lang w:val="en-US" w:eastAsia="zh-CN"/>
        </w:rPr>
        <w:t>到2025年，治理面积达209.52</w:t>
      </w:r>
      <w:r>
        <w:rPr>
          <w:rFonts w:hint="eastAsia" w:ascii="仿宋" w:hAnsi="仿宋" w:eastAsia="仿宋"/>
          <w:color w:val="auto"/>
          <w:szCs w:val="32"/>
          <w:highlight w:val="none"/>
        </w:rPr>
        <w:t>平方千米。</w:t>
      </w:r>
    </w:p>
    <w:p>
      <w:pPr>
        <w:pStyle w:val="23"/>
        <w:spacing w:line="600" w:lineRule="exact"/>
        <w:ind w:firstLine="640"/>
        <w:rPr>
          <w:rFonts w:hint="eastAsia" w:ascii="仿宋" w:hAnsi="仿宋" w:eastAsia="仿宋"/>
          <w:color w:val="auto"/>
          <w:szCs w:val="32"/>
          <w:highlight w:val="none"/>
        </w:rPr>
      </w:pPr>
      <w:r>
        <w:rPr>
          <w:rFonts w:hint="eastAsia" w:ascii="楷体" w:hAnsi="楷体" w:eastAsia="楷体" w:cs="仿宋_GB2312"/>
          <w:bCs/>
          <w:color w:val="auto"/>
          <w:szCs w:val="32"/>
          <w:highlight w:val="none"/>
          <w:lang w:val="en-US" w:eastAsia="zh-CN"/>
        </w:rPr>
        <w:t>4.开展矿山生态修复治理。</w:t>
      </w:r>
      <w:r>
        <w:rPr>
          <w:rFonts w:hint="eastAsia" w:ascii="仿宋" w:hAnsi="仿宋" w:eastAsia="仿宋"/>
          <w:color w:val="auto"/>
          <w:szCs w:val="32"/>
          <w:highlight w:val="none"/>
        </w:rPr>
        <w:t>针对大伙房水库流域范围内51家具有探矿权、44家具有采矿权的矿山企业，根据矿山的污染种类、污染程度、环境风险、资源禀赋等特征，</w:t>
      </w:r>
      <w:r>
        <w:rPr>
          <w:rFonts w:hint="eastAsia" w:ascii="仿宋" w:hAnsi="仿宋" w:eastAsia="仿宋"/>
          <w:color w:val="auto"/>
          <w:szCs w:val="32"/>
          <w:highlight w:val="none"/>
          <w:lang w:val="en-US" w:eastAsia="zh-CN"/>
        </w:rPr>
        <w:t>进行</w:t>
      </w:r>
      <w:r>
        <w:rPr>
          <w:rFonts w:hint="eastAsia" w:ascii="仿宋" w:hAnsi="仿宋" w:eastAsia="仿宋"/>
          <w:color w:val="auto"/>
          <w:szCs w:val="32"/>
          <w:highlight w:val="none"/>
        </w:rPr>
        <w:t>逐矿排查、一矿一策、分类整治，完善环境风险防范设施建设，制定</w:t>
      </w:r>
      <w:r>
        <w:rPr>
          <w:rFonts w:hint="eastAsia" w:ascii="仿宋" w:hAnsi="仿宋" w:eastAsia="仿宋"/>
          <w:color w:val="auto"/>
          <w:szCs w:val="32"/>
          <w:highlight w:val="none"/>
          <w:lang w:eastAsia="zh-CN"/>
        </w:rPr>
        <w:t>大伙房饮用水水源保护区</w:t>
      </w:r>
      <w:r>
        <w:rPr>
          <w:rFonts w:hint="eastAsia" w:ascii="仿宋" w:hAnsi="仿宋" w:eastAsia="仿宋"/>
          <w:color w:val="auto"/>
          <w:szCs w:val="32"/>
          <w:highlight w:val="none"/>
        </w:rPr>
        <w:t>保护区内矿山矿区修复计划，并分期分类实施。对保护区内已关闭的矿山企业应采取有效的闭矿措施，并实施修坡整形、防护工程、覆土工程、截排水工程、生态复绿工程</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rPr>
        <w:t>进一步加强生产运行的矿山企业水污染防治，彻底消除对周围水环境的污染隐患，杜绝污染事故的发生</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rPr>
        <w:t>到2025年底</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rPr>
        <w:t>完成现有矿山企业的生态修复与治理工程，矿山生态恢复面积达到1158.8</w:t>
      </w:r>
      <w:r>
        <w:rPr>
          <w:rFonts w:hint="eastAsia" w:ascii="仿宋" w:hAnsi="仿宋" w:eastAsia="仿宋"/>
          <w:color w:val="auto"/>
          <w:szCs w:val="32"/>
          <w:highlight w:val="none"/>
          <w:lang w:val="en-US" w:eastAsia="zh-CN"/>
        </w:rPr>
        <w:t>公顷</w:t>
      </w:r>
      <w:r>
        <w:rPr>
          <w:rFonts w:hint="eastAsia" w:ascii="仿宋" w:hAnsi="仿宋" w:eastAsia="仿宋"/>
          <w:color w:val="auto"/>
          <w:szCs w:val="32"/>
          <w:highlight w:val="none"/>
        </w:rPr>
        <w:t>，并加强监督管理。</w:t>
      </w:r>
    </w:p>
    <w:tbl>
      <w:tblPr>
        <w:tblStyle w:val="24"/>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217" w:type="dxa"/>
          </w:tcPr>
          <w:p>
            <w:pPr>
              <w:spacing w:line="400" w:lineRule="exact"/>
              <w:jc w:val="center"/>
              <w:rPr>
                <w:color w:val="auto"/>
                <w:sz w:val="24"/>
                <w:highlight w:val="none"/>
              </w:rPr>
            </w:pPr>
            <w:r>
              <w:rPr>
                <w:rFonts w:hint="eastAsia" w:ascii="楷体" w:hAnsi="楷体" w:eastAsia="楷体" w:cs="仿宋"/>
                <w:b/>
                <w:bCs/>
                <w:color w:val="auto"/>
                <w:sz w:val="28"/>
                <w:szCs w:val="28"/>
                <w:highlight w:val="none"/>
              </w:rPr>
              <w:t>专栏</w:t>
            </w:r>
            <w:r>
              <w:rPr>
                <w:rFonts w:hint="eastAsia" w:ascii="楷体" w:hAnsi="楷体" w:eastAsia="楷体" w:cs="仿宋"/>
                <w:b/>
                <w:bCs/>
                <w:color w:val="auto"/>
                <w:sz w:val="28"/>
                <w:szCs w:val="28"/>
                <w:highlight w:val="none"/>
                <w:lang w:val="en-US" w:eastAsia="zh-CN"/>
              </w:rPr>
              <w:t>6</w:t>
            </w:r>
            <w:r>
              <w:rPr>
                <w:rFonts w:hint="eastAsia" w:ascii="楷体" w:hAnsi="楷体" w:eastAsia="楷体" w:cs="仿宋"/>
                <w:b/>
                <w:bCs/>
                <w:color w:val="auto"/>
                <w:sz w:val="28"/>
                <w:szCs w:val="28"/>
                <w:highlight w:val="none"/>
              </w:rPr>
              <w:t>：提升水源生态涵养基地环境质量重点项目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17" w:type="dxa"/>
          </w:tcPr>
          <w:p>
            <w:pPr>
              <w:spacing w:line="400" w:lineRule="exact"/>
              <w:jc w:val="left"/>
              <w:rPr>
                <w:rFonts w:hint="eastAsia"/>
                <w:lang w:val="en-US" w:eastAsia="zh-CN"/>
              </w:rPr>
            </w:pPr>
            <w:r>
              <w:rPr>
                <w:rFonts w:hint="eastAsia"/>
                <w:lang w:val="en-US" w:eastAsia="zh-CN"/>
              </w:rPr>
              <w:t>1.新宾县河道生态封育工程（2022年-2025年）</w:t>
            </w:r>
          </w:p>
          <w:p>
            <w:pPr>
              <w:spacing w:line="400" w:lineRule="exact"/>
              <w:jc w:val="left"/>
              <w:rPr>
                <w:rFonts w:hint="default"/>
                <w:lang w:val="en-US" w:eastAsia="zh-CN"/>
              </w:rPr>
            </w:pPr>
            <w:r>
              <w:rPr>
                <w:rFonts w:hint="eastAsia"/>
                <w:lang w:val="en-US" w:eastAsia="zh-CN"/>
              </w:rPr>
              <w:t>2.新宾县50平方公里以下小流域治理工程</w:t>
            </w:r>
          </w:p>
        </w:tc>
      </w:tr>
    </w:tbl>
    <w:p>
      <w:pPr>
        <w:pStyle w:val="23"/>
        <w:spacing w:line="800" w:lineRule="exact"/>
        <w:ind w:firstLine="643"/>
        <w:outlineLvl w:val="0"/>
        <w:rPr>
          <w:rFonts w:asciiTheme="minorEastAsia" w:hAnsiTheme="minorEastAsia" w:eastAsiaTheme="minorEastAsia"/>
          <w:b/>
          <w:color w:val="auto"/>
          <w:szCs w:val="32"/>
          <w:highlight w:val="none"/>
          <w:shd w:val="clear" w:color="auto" w:fill="FFFFFF"/>
        </w:rPr>
      </w:pPr>
      <w:bookmarkStart w:id="36" w:name="_Toc4814"/>
      <w:r>
        <w:rPr>
          <w:rFonts w:hint="eastAsia" w:asciiTheme="minorEastAsia" w:hAnsiTheme="minorEastAsia" w:eastAsiaTheme="minorEastAsia"/>
          <w:b/>
          <w:color w:val="auto"/>
          <w:szCs w:val="32"/>
          <w:highlight w:val="none"/>
          <w:shd w:val="clear" w:color="auto" w:fill="FFFFFF"/>
          <w:lang w:val="en-US" w:eastAsia="zh-CN"/>
        </w:rPr>
        <w:t>六</w:t>
      </w:r>
      <w:r>
        <w:rPr>
          <w:rFonts w:hint="eastAsia" w:asciiTheme="minorEastAsia" w:hAnsiTheme="minorEastAsia" w:eastAsiaTheme="minorEastAsia"/>
          <w:b/>
          <w:color w:val="auto"/>
          <w:szCs w:val="32"/>
          <w:highlight w:val="none"/>
          <w:shd w:val="clear" w:color="auto" w:fill="FFFFFF"/>
        </w:rPr>
        <w:t>、深化农业农村环境治理，打造美丽乡村</w:t>
      </w:r>
      <w:bookmarkEnd w:id="36"/>
    </w:p>
    <w:p>
      <w:pPr>
        <w:pStyle w:val="23"/>
        <w:spacing w:line="600" w:lineRule="exact"/>
        <w:ind w:firstLine="640"/>
        <w:rPr>
          <w:rFonts w:ascii="仿宋" w:hAnsi="仿宋" w:eastAsia="仿宋"/>
          <w:color w:val="auto"/>
          <w:szCs w:val="32"/>
          <w:highlight w:val="none"/>
        </w:rPr>
      </w:pPr>
      <w:r>
        <w:rPr>
          <w:rFonts w:hint="eastAsia" w:ascii="仿宋" w:hAnsi="仿宋" w:eastAsia="仿宋"/>
          <w:color w:val="auto"/>
          <w:szCs w:val="32"/>
          <w:highlight w:val="none"/>
        </w:rPr>
        <w:t>改善农村人居环境，建设美丽宜居乡村，是实施乡村振兴战略的一项重要任务，事关广大农民根本福祉，事关农村社会文明和谐。把改善农村人居环境作为生态文明建设的重要内容，加快解决农业农村突出环境问题，推进农村人居环境整治，进一步提升农村人居环境水平。</w:t>
      </w:r>
    </w:p>
    <w:p>
      <w:pPr>
        <w:pStyle w:val="23"/>
        <w:spacing w:line="600" w:lineRule="exact"/>
        <w:ind w:firstLine="643"/>
        <w:outlineLvl w:val="1"/>
        <w:rPr>
          <w:rFonts w:asciiTheme="minorEastAsia" w:hAnsiTheme="minorEastAsia" w:eastAsiaTheme="minorEastAsia"/>
          <w:b/>
          <w:bCs/>
          <w:color w:val="auto"/>
          <w:szCs w:val="32"/>
          <w:highlight w:val="none"/>
        </w:rPr>
      </w:pPr>
      <w:bookmarkStart w:id="37" w:name="_Toc8926"/>
      <w:r>
        <w:rPr>
          <w:rFonts w:hint="eastAsia" w:asciiTheme="minorEastAsia" w:hAnsiTheme="minorEastAsia" w:eastAsiaTheme="minorEastAsia"/>
          <w:b/>
          <w:bCs/>
          <w:color w:val="auto"/>
          <w:szCs w:val="32"/>
          <w:highlight w:val="none"/>
        </w:rPr>
        <w:t>（一）着力解决养殖业污染</w:t>
      </w:r>
      <w:bookmarkEnd w:id="37"/>
    </w:p>
    <w:p>
      <w:pPr>
        <w:pStyle w:val="23"/>
        <w:spacing w:line="600" w:lineRule="exact"/>
        <w:ind w:firstLine="640"/>
        <w:rPr>
          <w:rFonts w:ascii="仿宋" w:hAnsi="仿宋" w:eastAsia="仿宋"/>
          <w:color w:val="auto"/>
          <w:szCs w:val="32"/>
          <w:highlight w:val="none"/>
        </w:rPr>
      </w:pPr>
      <w:r>
        <w:rPr>
          <w:rFonts w:hint="eastAsia" w:ascii="楷体" w:hAnsi="楷体" w:eastAsia="楷体"/>
          <w:color w:val="auto"/>
          <w:szCs w:val="32"/>
          <w:highlight w:val="none"/>
        </w:rPr>
        <w:t>1.推进养殖生产清洁化和产业模式生态化。</w:t>
      </w:r>
      <w:r>
        <w:rPr>
          <w:rFonts w:hint="eastAsia" w:ascii="仿宋" w:hAnsi="仿宋" w:eastAsia="仿宋"/>
          <w:color w:val="auto"/>
          <w:szCs w:val="32"/>
          <w:highlight w:val="none"/>
        </w:rPr>
        <w:t>推广节水、节料等清洁养殖工艺和干清粪、微生物发酵等实用技术，实现源头减量。推进畜禽粪污资源化利用，鼓励和引导第三方处理企业将养殖户畜禽粪污进行专业化集中化处理。推广畜禽粪污资源化利用技术集成，因地制宜推广粪污全量收集还田利用等技术模式，到</w:t>
      </w:r>
      <w:r>
        <w:rPr>
          <w:rFonts w:ascii="仿宋" w:hAnsi="仿宋" w:eastAsia="仿宋"/>
          <w:color w:val="auto"/>
          <w:szCs w:val="32"/>
          <w:highlight w:val="none"/>
        </w:rPr>
        <w:t>2025</w:t>
      </w:r>
      <w:r>
        <w:rPr>
          <w:rFonts w:hint="eastAsia" w:ascii="仿宋" w:hAnsi="仿宋" w:eastAsia="仿宋"/>
          <w:color w:val="auto"/>
          <w:szCs w:val="32"/>
          <w:highlight w:val="none"/>
        </w:rPr>
        <w:t>年，全市畜禽粪污综合利用率达到</w:t>
      </w:r>
      <w:r>
        <w:rPr>
          <w:rFonts w:hint="eastAsia" w:ascii="仿宋" w:hAnsi="仿宋" w:eastAsia="仿宋"/>
          <w:color w:val="auto"/>
          <w:szCs w:val="32"/>
          <w:highlight w:val="none"/>
          <w:lang w:val="en-US" w:eastAsia="zh-CN"/>
        </w:rPr>
        <w:t>80</w:t>
      </w:r>
      <w:r>
        <w:rPr>
          <w:rFonts w:ascii="仿宋" w:hAnsi="仿宋" w:eastAsia="仿宋"/>
          <w:color w:val="auto"/>
          <w:szCs w:val="32"/>
          <w:highlight w:val="none"/>
        </w:rPr>
        <w:t>%</w:t>
      </w:r>
      <w:r>
        <w:rPr>
          <w:rFonts w:hint="eastAsia" w:ascii="仿宋" w:hAnsi="仿宋" w:eastAsia="仿宋"/>
          <w:color w:val="auto"/>
          <w:szCs w:val="32"/>
          <w:highlight w:val="none"/>
        </w:rPr>
        <w:t>以上。</w:t>
      </w:r>
    </w:p>
    <w:p>
      <w:pPr>
        <w:pStyle w:val="23"/>
        <w:spacing w:line="600" w:lineRule="exact"/>
        <w:ind w:firstLine="640"/>
        <w:rPr>
          <w:rFonts w:ascii="仿宋" w:hAnsi="仿宋" w:eastAsia="仿宋"/>
          <w:color w:val="auto"/>
          <w:szCs w:val="32"/>
          <w:highlight w:val="none"/>
        </w:rPr>
      </w:pPr>
      <w:r>
        <w:rPr>
          <w:rFonts w:hint="eastAsia" w:ascii="楷体" w:hAnsi="楷体" w:eastAsia="楷体"/>
          <w:color w:val="auto"/>
          <w:szCs w:val="32"/>
          <w:highlight w:val="none"/>
        </w:rPr>
        <w:t>2.严格畜禽规模养殖环境监管。</w:t>
      </w:r>
      <w:r>
        <w:rPr>
          <w:rFonts w:hint="eastAsia" w:ascii="仿宋" w:hAnsi="仿宋" w:eastAsia="仿宋"/>
          <w:color w:val="auto"/>
          <w:szCs w:val="32"/>
          <w:highlight w:val="none"/>
        </w:rPr>
        <w:t>将规模以上畜禽养殖场纳入重点污染源管理，依据《建设项目环境影响评价分类管理名录（</w:t>
      </w:r>
      <w:r>
        <w:rPr>
          <w:rFonts w:ascii="仿宋" w:hAnsi="仿宋" w:eastAsia="仿宋"/>
          <w:color w:val="auto"/>
          <w:szCs w:val="32"/>
          <w:highlight w:val="none"/>
        </w:rPr>
        <w:t>2021</w:t>
      </w:r>
      <w:r>
        <w:rPr>
          <w:rFonts w:hint="eastAsia" w:ascii="仿宋" w:hAnsi="仿宋" w:eastAsia="仿宋"/>
          <w:color w:val="auto"/>
          <w:szCs w:val="32"/>
          <w:highlight w:val="none"/>
        </w:rPr>
        <w:t>年版）》，年出栏生猪</w:t>
      </w:r>
      <w:r>
        <w:rPr>
          <w:rFonts w:ascii="仿宋" w:hAnsi="仿宋" w:eastAsia="仿宋"/>
          <w:color w:val="auto"/>
          <w:szCs w:val="32"/>
          <w:highlight w:val="none"/>
        </w:rPr>
        <w:t>5000</w:t>
      </w:r>
      <w:r>
        <w:rPr>
          <w:rFonts w:hint="eastAsia" w:ascii="仿宋" w:hAnsi="仿宋" w:eastAsia="仿宋"/>
          <w:color w:val="auto"/>
          <w:szCs w:val="32"/>
          <w:highlight w:val="none"/>
        </w:rPr>
        <w:t>头（其他畜禽种类折合猪的养殖量）及以上的规模化畜禽养殖；存栏生猪</w:t>
      </w:r>
      <w:r>
        <w:rPr>
          <w:rFonts w:ascii="仿宋" w:hAnsi="仿宋" w:eastAsia="仿宋"/>
          <w:color w:val="auto"/>
          <w:szCs w:val="32"/>
          <w:highlight w:val="none"/>
        </w:rPr>
        <w:t>2500</w:t>
      </w:r>
      <w:r>
        <w:rPr>
          <w:rFonts w:hint="eastAsia" w:ascii="仿宋" w:hAnsi="仿宋" w:eastAsia="仿宋"/>
          <w:color w:val="auto"/>
          <w:szCs w:val="32"/>
          <w:highlight w:val="none"/>
        </w:rPr>
        <w:t>头（其他畜禽种类折合猪的养殖规模）及以上无出栏量的规模化畜禽养殖；涉及环境敏感区的规模化畜禽养殖全部执行环评报告书制度。</w:t>
      </w:r>
      <w:r>
        <w:rPr>
          <w:rFonts w:hint="eastAsia" w:ascii="仿宋" w:hAnsi="仿宋" w:eastAsia="仿宋"/>
          <w:color w:val="auto"/>
          <w:szCs w:val="32"/>
          <w:highlight w:val="none"/>
          <w:lang w:val="en-US" w:eastAsia="zh-CN"/>
        </w:rPr>
        <w:t>探索</w:t>
      </w:r>
      <w:r>
        <w:rPr>
          <w:rFonts w:hint="eastAsia" w:ascii="仿宋" w:hAnsi="仿宋" w:eastAsia="仿宋"/>
          <w:color w:val="auto"/>
          <w:szCs w:val="32"/>
          <w:highlight w:val="none"/>
        </w:rPr>
        <w:t>制定排查标准，建立全市畜禽养殖专业户及规模养殖场（小区）排查清单并定期更新。畜禽养殖专业户规模以上的由市生态环境局执法部门监管，定期开展抽查进行执法检查。规模以下的由属地政府负责管理，造成环境污染的要及时上报，由生态环境执法部门负责环境执法工作。</w:t>
      </w:r>
    </w:p>
    <w:p>
      <w:pPr>
        <w:pStyle w:val="23"/>
        <w:spacing w:line="600" w:lineRule="exact"/>
        <w:ind w:firstLine="643"/>
        <w:outlineLvl w:val="1"/>
        <w:rPr>
          <w:rFonts w:asciiTheme="minorEastAsia" w:hAnsiTheme="minorEastAsia" w:eastAsiaTheme="minorEastAsia"/>
          <w:b/>
          <w:bCs/>
          <w:color w:val="auto"/>
          <w:szCs w:val="32"/>
          <w:highlight w:val="none"/>
        </w:rPr>
      </w:pPr>
      <w:bookmarkStart w:id="38" w:name="_Toc15474"/>
      <w:r>
        <w:rPr>
          <w:rFonts w:hint="eastAsia" w:asciiTheme="minorEastAsia" w:hAnsiTheme="minorEastAsia" w:eastAsiaTheme="minorEastAsia"/>
          <w:b/>
          <w:bCs/>
          <w:color w:val="auto"/>
          <w:szCs w:val="32"/>
          <w:highlight w:val="none"/>
        </w:rPr>
        <w:t>（二）有效防控种植业污染</w:t>
      </w:r>
      <w:bookmarkEnd w:id="38"/>
    </w:p>
    <w:p>
      <w:pPr>
        <w:pStyle w:val="23"/>
        <w:spacing w:line="600" w:lineRule="exact"/>
        <w:ind w:firstLine="640"/>
        <w:rPr>
          <w:rFonts w:hint="default" w:ascii="仿宋" w:hAnsi="仿宋" w:eastAsia="仿宋"/>
          <w:color w:val="auto"/>
          <w:szCs w:val="32"/>
          <w:highlight w:val="none"/>
          <w:lang w:val="en-US" w:eastAsia="zh-CN"/>
        </w:rPr>
      </w:pPr>
      <w:r>
        <w:rPr>
          <w:rFonts w:hint="eastAsia" w:ascii="楷体" w:hAnsi="楷体" w:eastAsia="楷体"/>
          <w:color w:val="auto"/>
          <w:szCs w:val="32"/>
          <w:highlight w:val="none"/>
          <w:lang w:val="en-US" w:eastAsia="zh-CN"/>
        </w:rPr>
        <w:t>1.实施化肥农药减量增效行动。</w:t>
      </w:r>
      <w:r>
        <w:rPr>
          <w:rFonts w:hint="eastAsia" w:ascii="仿宋" w:hAnsi="仿宋" w:eastAsia="仿宋"/>
          <w:color w:val="auto"/>
          <w:szCs w:val="32"/>
          <w:highlight w:val="none"/>
          <w:lang w:val="en-US" w:eastAsia="zh-CN"/>
        </w:rPr>
        <w:t>在大伙房水源保护区内，发展中药材、食用菌、山野菜等特色农业产业，减少化肥农药使用量。依托清原县、新宾县开展化肥减量增效示范，开展测土方施肥项目，推广有机肥、高效缓控释类新型肥料和生物肥料等绿色技术，鼓励农户与社会化服务组织建立合作关系，开展统配统施，统防统治等。到2025年实现化肥使用量“零增长”，保护区范围内实现测土施肥技术覆盖率达到90%以上。</w:t>
      </w:r>
    </w:p>
    <w:p>
      <w:pPr>
        <w:pStyle w:val="23"/>
        <w:spacing w:line="600" w:lineRule="exact"/>
        <w:ind w:firstLine="640"/>
        <w:rPr>
          <w:rFonts w:ascii="仿宋" w:hAnsi="仿宋" w:eastAsia="仿宋"/>
          <w:color w:val="auto"/>
          <w:szCs w:val="32"/>
          <w:highlight w:val="none"/>
        </w:rPr>
      </w:pPr>
      <w:r>
        <w:rPr>
          <w:rFonts w:hint="eastAsia" w:ascii="楷体" w:hAnsi="楷体" w:eastAsia="楷体"/>
          <w:color w:val="auto"/>
          <w:szCs w:val="32"/>
          <w:highlight w:val="none"/>
        </w:rPr>
        <w:t>2.加强秸秆资源化利用。</w:t>
      </w:r>
      <w:r>
        <w:rPr>
          <w:rFonts w:hint="eastAsia" w:ascii="仿宋" w:hAnsi="仿宋" w:eastAsia="仿宋"/>
          <w:color w:val="auto"/>
          <w:szCs w:val="32"/>
          <w:highlight w:val="none"/>
        </w:rPr>
        <w:t>坚持因地制宜、农用优先、政府引导、市场运作的原作，推进农作物秸秆综合利用重点县建设，总结推广一批秸秆收储运典型模式。加强农作物秸秆能源化、肥料化、饲料化、基料化、原料化利用，加快培育秸秆收储运社会化服务组织，拓宽利用途径，不断提高秸秆总也利用水平。到2025年，全市秸秆综合利用率达到90%以上。</w:t>
      </w:r>
    </w:p>
    <w:p>
      <w:pPr>
        <w:pStyle w:val="23"/>
        <w:spacing w:line="600" w:lineRule="exact"/>
        <w:ind w:firstLine="640"/>
        <w:rPr>
          <w:rFonts w:hint="eastAsia" w:ascii="仿宋" w:hAnsi="仿宋" w:eastAsia="仿宋"/>
          <w:color w:val="auto"/>
          <w:szCs w:val="32"/>
          <w:highlight w:val="none"/>
          <w:lang w:val="en-US" w:eastAsia="zh-CN"/>
        </w:rPr>
      </w:pPr>
      <w:r>
        <w:rPr>
          <w:rFonts w:hint="eastAsia" w:ascii="楷体" w:hAnsi="楷体" w:eastAsia="楷体"/>
          <w:color w:val="auto"/>
          <w:szCs w:val="32"/>
          <w:highlight w:val="none"/>
        </w:rPr>
        <w:t>3.推进农膜</w:t>
      </w:r>
      <w:r>
        <w:rPr>
          <w:rFonts w:hint="eastAsia" w:ascii="楷体" w:hAnsi="楷体" w:eastAsia="楷体"/>
          <w:color w:val="auto"/>
          <w:szCs w:val="32"/>
          <w:highlight w:val="none"/>
          <w:lang w:val="en-US" w:eastAsia="zh-CN"/>
        </w:rPr>
        <w:t>和</w:t>
      </w:r>
      <w:r>
        <w:rPr>
          <w:rFonts w:hint="eastAsia" w:ascii="楷体" w:hAnsi="楷体" w:eastAsia="楷体" w:cs="Times New Roman"/>
          <w:color w:val="auto"/>
          <w:szCs w:val="32"/>
          <w:highlight w:val="none"/>
          <w:lang w:val="zh-TW" w:eastAsia="zh-CN"/>
        </w:rPr>
        <w:t>农药包装废弃物</w:t>
      </w:r>
      <w:r>
        <w:rPr>
          <w:rFonts w:hint="eastAsia" w:ascii="楷体" w:hAnsi="楷体" w:eastAsia="楷体"/>
          <w:color w:val="auto"/>
          <w:szCs w:val="32"/>
          <w:highlight w:val="none"/>
        </w:rPr>
        <w:t>回收利用。</w:t>
      </w:r>
      <w:r>
        <w:rPr>
          <w:rFonts w:hint="eastAsia" w:ascii="仿宋" w:hAnsi="仿宋" w:eastAsia="仿宋"/>
          <w:color w:val="auto"/>
          <w:szCs w:val="32"/>
          <w:highlight w:val="none"/>
        </w:rPr>
        <w:t>推进废旧农膜</w:t>
      </w:r>
      <w:r>
        <w:rPr>
          <w:rFonts w:hint="eastAsia" w:ascii="仿宋" w:hAnsi="仿宋" w:eastAsia="仿宋"/>
          <w:color w:val="auto"/>
          <w:szCs w:val="32"/>
          <w:highlight w:val="none"/>
          <w:lang w:val="en-US" w:eastAsia="zh-CN"/>
        </w:rPr>
        <w:t>和</w:t>
      </w:r>
      <w:r>
        <w:rPr>
          <w:rFonts w:hint="eastAsia" w:ascii="仿宋" w:hAnsi="仿宋" w:eastAsia="仿宋" w:cs="Times New Roman"/>
          <w:color w:val="auto"/>
          <w:szCs w:val="32"/>
          <w:highlight w:val="none"/>
          <w:lang w:val="zh-TW" w:eastAsia="zh-CN"/>
        </w:rPr>
        <w:t>农药包装废弃物</w:t>
      </w:r>
      <w:r>
        <w:rPr>
          <w:rFonts w:hint="eastAsia" w:ascii="仿宋" w:hAnsi="仿宋" w:eastAsia="仿宋" w:cs="Times New Roman"/>
          <w:color w:val="auto"/>
          <w:szCs w:val="32"/>
          <w:highlight w:val="none"/>
        </w:rPr>
        <w:t>回收利</w:t>
      </w:r>
      <w:r>
        <w:rPr>
          <w:rFonts w:hint="eastAsia" w:ascii="仿宋" w:hAnsi="仿宋" w:eastAsia="仿宋"/>
          <w:color w:val="auto"/>
          <w:szCs w:val="32"/>
          <w:highlight w:val="none"/>
          <w:lang w:val="en-US" w:eastAsia="zh-CN"/>
        </w:rPr>
        <w:t>用</w:t>
      </w:r>
      <w:r>
        <w:rPr>
          <w:rFonts w:hint="eastAsia" w:ascii="仿宋" w:hAnsi="仿宋" w:eastAsia="仿宋"/>
          <w:color w:val="auto"/>
          <w:szCs w:val="32"/>
          <w:highlight w:val="none"/>
        </w:rPr>
        <w:t>，</w:t>
      </w:r>
      <w:r>
        <w:rPr>
          <w:rFonts w:hint="eastAsia" w:ascii="仿宋" w:hAnsi="仿宋" w:eastAsia="仿宋"/>
          <w:color w:val="auto"/>
          <w:szCs w:val="32"/>
          <w:highlight w:val="none"/>
          <w:lang w:val="en-US" w:eastAsia="zh-CN"/>
        </w:rPr>
        <w:t>探索可降解地膜的试点示范。积极落实春耕备耕以及秋实期间地膜回收和农用地膜、农药包装废弃物回收利用技术指导工作，建立完善农膜使用和回收情况台账，开展地膜入田监测点建设，建设废弃农膜回收网点，到2025年，废弃农膜回收率达到90%，农药包装废弃物回收率达到80%。</w:t>
      </w:r>
    </w:p>
    <w:p>
      <w:pPr>
        <w:pStyle w:val="23"/>
        <w:spacing w:line="600" w:lineRule="exact"/>
        <w:ind w:firstLine="643"/>
        <w:outlineLvl w:val="1"/>
        <w:rPr>
          <w:rFonts w:asciiTheme="minorEastAsia" w:hAnsiTheme="minorEastAsia" w:eastAsiaTheme="minorEastAsia"/>
          <w:b/>
          <w:bCs/>
          <w:color w:val="auto"/>
          <w:szCs w:val="32"/>
          <w:highlight w:val="none"/>
        </w:rPr>
      </w:pPr>
      <w:bookmarkStart w:id="39" w:name="_Toc7455"/>
      <w:r>
        <w:rPr>
          <w:rFonts w:hint="eastAsia" w:asciiTheme="minorEastAsia" w:hAnsiTheme="minorEastAsia" w:eastAsiaTheme="minorEastAsia"/>
          <w:b/>
          <w:bCs/>
          <w:color w:val="auto"/>
          <w:szCs w:val="32"/>
          <w:highlight w:val="none"/>
        </w:rPr>
        <w:t>（</w:t>
      </w:r>
      <w:r>
        <w:rPr>
          <w:rFonts w:hint="eastAsia" w:asciiTheme="minorEastAsia" w:hAnsiTheme="minorEastAsia" w:eastAsiaTheme="minorEastAsia"/>
          <w:b/>
          <w:bCs/>
          <w:color w:val="auto"/>
          <w:szCs w:val="32"/>
          <w:highlight w:val="none"/>
          <w:lang w:val="en-US" w:eastAsia="zh-CN"/>
        </w:rPr>
        <w:t>三</w:t>
      </w:r>
      <w:r>
        <w:rPr>
          <w:rFonts w:hint="eastAsia" w:asciiTheme="minorEastAsia" w:hAnsiTheme="minorEastAsia" w:eastAsiaTheme="minorEastAsia"/>
          <w:b/>
          <w:bCs/>
          <w:color w:val="auto"/>
          <w:szCs w:val="32"/>
          <w:highlight w:val="none"/>
        </w:rPr>
        <w:t>）加强农村饮用水安全保障</w:t>
      </w:r>
      <w:bookmarkEnd w:id="39"/>
    </w:p>
    <w:p>
      <w:pPr>
        <w:pStyle w:val="23"/>
        <w:spacing w:line="600" w:lineRule="exact"/>
        <w:ind w:firstLine="640"/>
        <w:rPr>
          <w:rFonts w:hint="default" w:ascii="仿宋" w:hAnsi="仿宋" w:eastAsia="仿宋"/>
          <w:color w:val="auto"/>
          <w:szCs w:val="32"/>
          <w:highlight w:val="none"/>
          <w:lang w:val="en-US" w:eastAsia="zh-CN"/>
        </w:rPr>
      </w:pPr>
      <w:r>
        <w:rPr>
          <w:rFonts w:hint="eastAsia" w:ascii="仿宋" w:hAnsi="仿宋" w:eastAsia="仿宋"/>
          <w:color w:val="auto"/>
          <w:szCs w:val="32"/>
          <w:highlight w:val="none"/>
          <w:lang w:val="en-US" w:eastAsia="zh-CN"/>
        </w:rPr>
        <w:t>开展</w:t>
      </w:r>
      <w:r>
        <w:rPr>
          <w:rFonts w:hint="eastAsia" w:ascii="仿宋" w:hAnsi="仿宋" w:eastAsia="仿宋"/>
          <w:color w:val="auto"/>
          <w:szCs w:val="32"/>
          <w:highlight w:val="none"/>
        </w:rPr>
        <w:t>农村饮用水保护区风险隐患</w:t>
      </w:r>
      <w:r>
        <w:rPr>
          <w:rFonts w:hint="eastAsia" w:ascii="仿宋" w:hAnsi="仿宋" w:eastAsia="仿宋"/>
          <w:color w:val="auto"/>
          <w:szCs w:val="32"/>
          <w:highlight w:val="none"/>
          <w:lang w:val="en-US" w:eastAsia="zh-CN"/>
        </w:rPr>
        <w:t>排查</w:t>
      </w:r>
      <w:r>
        <w:rPr>
          <w:rFonts w:hint="eastAsia" w:ascii="仿宋" w:hAnsi="仿宋" w:eastAsia="仿宋"/>
          <w:color w:val="auto"/>
          <w:szCs w:val="32"/>
          <w:highlight w:val="none"/>
        </w:rPr>
        <w:t>，实施保护区环境综合整治，加强水质监控及风险预警，制定并严格落实水源地环境风险应急预案。推进村屯独立集中供水自备井管理，定期开展水质监测，对水质不达标水源井实施替代或转变供水方式，适时推进保护区管理</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lang w:val="en-US" w:eastAsia="zh-CN"/>
        </w:rPr>
        <w:t>完成乡镇水源保护区划定，推进农村饮用水源保护区规范化建设，设立地理界标、警示标志或宣传牌等。提高农村自来水普及率，水质达标率和工程运行管理水平。</w:t>
      </w:r>
    </w:p>
    <w:p>
      <w:pPr>
        <w:pStyle w:val="23"/>
        <w:spacing w:line="600" w:lineRule="exact"/>
        <w:ind w:firstLine="643"/>
        <w:outlineLvl w:val="1"/>
        <w:rPr>
          <w:rFonts w:asciiTheme="minorEastAsia" w:hAnsiTheme="minorEastAsia" w:eastAsiaTheme="minorEastAsia"/>
          <w:b/>
          <w:bCs/>
          <w:color w:val="auto"/>
          <w:szCs w:val="32"/>
          <w:highlight w:val="none"/>
        </w:rPr>
      </w:pPr>
      <w:bookmarkStart w:id="40" w:name="_Toc4817"/>
      <w:r>
        <w:rPr>
          <w:rFonts w:hint="eastAsia" w:asciiTheme="minorEastAsia" w:hAnsiTheme="minorEastAsia" w:eastAsiaTheme="minorEastAsia"/>
          <w:b/>
          <w:bCs/>
          <w:color w:val="auto"/>
          <w:szCs w:val="32"/>
          <w:highlight w:val="none"/>
        </w:rPr>
        <w:t>（</w:t>
      </w:r>
      <w:r>
        <w:rPr>
          <w:rFonts w:hint="eastAsia" w:asciiTheme="minorEastAsia" w:hAnsiTheme="minorEastAsia" w:eastAsiaTheme="minorEastAsia"/>
          <w:b/>
          <w:bCs/>
          <w:color w:val="auto"/>
          <w:szCs w:val="32"/>
          <w:highlight w:val="none"/>
          <w:lang w:val="en-US" w:eastAsia="zh-CN"/>
        </w:rPr>
        <w:t>四</w:t>
      </w:r>
      <w:r>
        <w:rPr>
          <w:rFonts w:hint="eastAsia" w:asciiTheme="minorEastAsia" w:hAnsiTheme="minorEastAsia" w:eastAsiaTheme="minorEastAsia"/>
          <w:b/>
          <w:bCs/>
          <w:color w:val="auto"/>
          <w:szCs w:val="32"/>
          <w:highlight w:val="none"/>
        </w:rPr>
        <w:t>）做好农村生活污水处理与改厕有效衔接</w:t>
      </w:r>
      <w:bookmarkEnd w:id="40"/>
    </w:p>
    <w:p>
      <w:pPr>
        <w:pStyle w:val="23"/>
        <w:spacing w:line="600" w:lineRule="exact"/>
        <w:ind w:firstLine="640"/>
        <w:rPr>
          <w:rFonts w:ascii="仿宋" w:hAnsi="仿宋" w:eastAsia="仿宋"/>
          <w:color w:val="auto"/>
          <w:szCs w:val="32"/>
          <w:highlight w:val="none"/>
        </w:rPr>
      </w:pPr>
      <w:r>
        <w:rPr>
          <w:rFonts w:hint="eastAsia" w:ascii="仿宋" w:hAnsi="仿宋" w:eastAsia="仿宋"/>
          <w:color w:val="auto"/>
          <w:szCs w:val="32"/>
          <w:highlight w:val="none"/>
        </w:rPr>
        <w:t>结合农村</w:t>
      </w:r>
      <w:r>
        <w:rPr>
          <w:rFonts w:ascii="仿宋" w:hAnsi="仿宋" w:eastAsia="仿宋"/>
          <w:color w:val="auto"/>
          <w:szCs w:val="32"/>
          <w:highlight w:val="none"/>
        </w:rPr>
        <w:t>“</w:t>
      </w:r>
      <w:r>
        <w:rPr>
          <w:rFonts w:hint="eastAsia" w:ascii="仿宋" w:hAnsi="仿宋" w:eastAsia="仿宋"/>
          <w:color w:val="auto"/>
          <w:szCs w:val="32"/>
          <w:highlight w:val="none"/>
        </w:rPr>
        <w:t>改厕</w:t>
      </w:r>
      <w:r>
        <w:rPr>
          <w:rFonts w:ascii="仿宋" w:hAnsi="仿宋" w:eastAsia="仿宋"/>
          <w:color w:val="auto"/>
          <w:szCs w:val="32"/>
          <w:highlight w:val="none"/>
        </w:rPr>
        <w:t>”</w:t>
      </w:r>
      <w:r>
        <w:rPr>
          <w:rFonts w:hint="eastAsia" w:ascii="仿宋" w:hAnsi="仿宋" w:eastAsia="仿宋"/>
          <w:color w:val="auto"/>
          <w:szCs w:val="32"/>
          <w:highlight w:val="none"/>
        </w:rPr>
        <w:t>，科学确定农村生活污水治理方式，优化技术方案，完善全市乡镇政府所在区域污水收集处理系统，积极推进农村生活污水处理设施建设。对具备条件乡镇按照雨污分流体制完善污水收集管网，最大限度覆盖周边村屯，杜绝河道内建设污水井等情况。积极探索农村污水治理设施与化粪池一体化清掏维护，综合提高设施正常运行率，确保污水处理设施出水及粪污（污泥）得到有效资源化利用。完善农村污水处理工作体系，推广污水处理设施社会化专业养护。</w:t>
      </w:r>
    </w:p>
    <w:p>
      <w:pPr>
        <w:pStyle w:val="23"/>
        <w:spacing w:line="600" w:lineRule="exact"/>
        <w:ind w:firstLine="643"/>
        <w:outlineLvl w:val="1"/>
        <w:rPr>
          <w:rFonts w:asciiTheme="minorEastAsia" w:hAnsiTheme="minorEastAsia" w:eastAsiaTheme="minorEastAsia"/>
          <w:b/>
          <w:bCs/>
          <w:color w:val="auto"/>
          <w:szCs w:val="32"/>
          <w:highlight w:val="none"/>
        </w:rPr>
      </w:pPr>
      <w:bookmarkStart w:id="41" w:name="_Toc19130"/>
      <w:r>
        <w:rPr>
          <w:rFonts w:hint="eastAsia" w:asciiTheme="minorEastAsia" w:hAnsiTheme="minorEastAsia" w:eastAsiaTheme="minorEastAsia"/>
          <w:b/>
          <w:bCs/>
          <w:color w:val="auto"/>
          <w:szCs w:val="32"/>
          <w:highlight w:val="none"/>
        </w:rPr>
        <w:t>（</w:t>
      </w:r>
      <w:r>
        <w:rPr>
          <w:rFonts w:hint="eastAsia" w:asciiTheme="minorEastAsia" w:hAnsiTheme="minorEastAsia" w:eastAsiaTheme="minorEastAsia"/>
          <w:b/>
          <w:bCs/>
          <w:color w:val="auto"/>
          <w:szCs w:val="32"/>
          <w:highlight w:val="none"/>
          <w:lang w:val="en-US" w:eastAsia="zh-CN"/>
        </w:rPr>
        <w:t>五</w:t>
      </w:r>
      <w:r>
        <w:rPr>
          <w:rFonts w:hint="eastAsia" w:asciiTheme="minorEastAsia" w:hAnsiTheme="minorEastAsia" w:eastAsiaTheme="minorEastAsia"/>
          <w:b/>
          <w:bCs/>
          <w:color w:val="auto"/>
          <w:szCs w:val="32"/>
          <w:highlight w:val="none"/>
        </w:rPr>
        <w:t>）推进农村生活垃圾治理</w:t>
      </w:r>
      <w:bookmarkEnd w:id="41"/>
    </w:p>
    <w:p>
      <w:pPr>
        <w:pStyle w:val="23"/>
        <w:spacing w:line="600" w:lineRule="exact"/>
        <w:ind w:firstLine="640"/>
        <w:rPr>
          <w:rFonts w:ascii="仿宋" w:hAnsi="仿宋" w:eastAsia="仿宋"/>
          <w:color w:val="auto"/>
          <w:szCs w:val="32"/>
          <w:highlight w:val="none"/>
        </w:rPr>
      </w:pPr>
      <w:r>
        <w:rPr>
          <w:rFonts w:hint="eastAsia" w:ascii="仿宋" w:hAnsi="仿宋" w:eastAsia="仿宋"/>
          <w:color w:val="auto"/>
          <w:szCs w:val="32"/>
          <w:highlight w:val="none"/>
        </w:rPr>
        <w:t>加强农村环境基础设施建设与运维，以村中排水沟、渠为重点，建立固体废物清理工作机制，完善垃圾收集、转运、处理设施。加快推进农村城乡环卫一体化和市场化，探索农村生活垃圾分类和就地处理试点，提高生活垃圾分类收运能力，做好非正规垃圾堆放点整治后续管理，开展农村垃圾治理宣传教育活动。</w:t>
      </w:r>
    </w:p>
    <w:p>
      <w:pPr>
        <w:pStyle w:val="23"/>
        <w:spacing w:line="600" w:lineRule="exact"/>
        <w:ind w:firstLine="643"/>
        <w:outlineLvl w:val="1"/>
        <w:rPr>
          <w:rFonts w:asciiTheme="minorEastAsia" w:hAnsiTheme="minorEastAsia" w:eastAsiaTheme="minorEastAsia"/>
          <w:b/>
          <w:bCs/>
          <w:color w:val="auto"/>
          <w:szCs w:val="32"/>
          <w:highlight w:val="none"/>
        </w:rPr>
      </w:pPr>
      <w:bookmarkStart w:id="42" w:name="_Toc30572"/>
      <w:r>
        <w:rPr>
          <w:rFonts w:hint="eastAsia" w:asciiTheme="minorEastAsia" w:hAnsiTheme="minorEastAsia" w:eastAsiaTheme="minorEastAsia"/>
          <w:b/>
          <w:bCs/>
          <w:color w:val="auto"/>
          <w:szCs w:val="32"/>
          <w:highlight w:val="none"/>
        </w:rPr>
        <w:t>（</w:t>
      </w:r>
      <w:r>
        <w:rPr>
          <w:rFonts w:hint="eastAsia" w:asciiTheme="minorEastAsia" w:hAnsiTheme="minorEastAsia" w:eastAsiaTheme="minorEastAsia"/>
          <w:b/>
          <w:bCs/>
          <w:color w:val="auto"/>
          <w:szCs w:val="32"/>
          <w:highlight w:val="none"/>
          <w:lang w:val="en-US" w:eastAsia="zh-CN"/>
        </w:rPr>
        <w:t>六</w:t>
      </w:r>
      <w:r>
        <w:rPr>
          <w:rFonts w:hint="eastAsia" w:asciiTheme="minorEastAsia" w:hAnsiTheme="minorEastAsia" w:eastAsiaTheme="minorEastAsia"/>
          <w:b/>
          <w:bCs/>
          <w:color w:val="auto"/>
          <w:szCs w:val="32"/>
          <w:highlight w:val="none"/>
        </w:rPr>
        <w:t>）深入推进农村环境综合整治</w:t>
      </w:r>
      <w:bookmarkEnd w:id="42"/>
    </w:p>
    <w:p>
      <w:pPr>
        <w:pStyle w:val="23"/>
        <w:spacing w:line="600" w:lineRule="exact"/>
        <w:ind w:firstLine="640"/>
        <w:rPr>
          <w:rFonts w:hint="eastAsia" w:ascii="仿宋" w:hAnsi="仿宋" w:eastAsia="仿宋"/>
          <w:color w:val="auto"/>
          <w:szCs w:val="32"/>
          <w:highlight w:val="none"/>
          <w:lang w:val="en-US" w:eastAsia="zh-CN"/>
        </w:rPr>
      </w:pPr>
      <w:r>
        <w:rPr>
          <w:rFonts w:hint="eastAsia" w:ascii="仿宋" w:hAnsi="仿宋" w:eastAsia="仿宋"/>
          <w:color w:val="auto"/>
          <w:szCs w:val="32"/>
          <w:highlight w:val="none"/>
        </w:rPr>
        <w:t>紧密结合农村人居环境建设，健全农村环境综合整治长效工作机制。重点在大伙房水源保护区所在区域乡镇实施农村环境整治，建立县域农村水环境管理治理评价指标体系。分类指导、稳步推进农村“厕所革命”，实现村庄清洁制度化、常态化管理。2023年，稳步解决“垃圾围村”、“垃圾入河”等相关问题，基本实现村庄整洁。提升村容村貌。加快推进通村组道路、入户道路建设，彻底解决村内道路泥泞、村民出行不便等问题。整治公共空间和庭院环境，消除私搭乱建、乱堆乱放。大力提升农村建筑风貌，突出乡土特色和地域民族特点。深入开展城乡环境卫生整洁行动，推进卫生县城、卫生乡镇等卫生创建工作，持续开展农村环境整治成效评估。依托农村生活污水</w:t>
      </w:r>
      <w:r>
        <w:rPr>
          <w:rFonts w:hint="eastAsia" w:ascii="仿宋" w:hAnsi="仿宋" w:eastAsia="仿宋"/>
          <w:color w:val="auto"/>
          <w:szCs w:val="32"/>
          <w:highlight w:val="none"/>
          <w:lang w:val="en-US" w:eastAsia="zh-CN"/>
        </w:rPr>
        <w:t>治理</w:t>
      </w:r>
      <w:r>
        <w:rPr>
          <w:rFonts w:hint="eastAsia" w:ascii="仿宋" w:hAnsi="仿宋" w:eastAsia="仿宋"/>
          <w:color w:val="auto"/>
          <w:szCs w:val="32"/>
          <w:highlight w:val="none"/>
        </w:rPr>
        <w:t>三年行动方案，开展农村生活污水资源化治理和农村生活污水收集处理设施建设。到202</w:t>
      </w:r>
      <w:r>
        <w:rPr>
          <w:rFonts w:hint="eastAsia" w:ascii="仿宋" w:hAnsi="仿宋" w:eastAsia="仿宋"/>
          <w:color w:val="auto"/>
          <w:szCs w:val="32"/>
          <w:highlight w:val="none"/>
          <w:lang w:val="en-US" w:eastAsia="zh-CN"/>
        </w:rPr>
        <w:t>5</w:t>
      </w:r>
      <w:r>
        <w:rPr>
          <w:rFonts w:hint="eastAsia" w:ascii="仿宋" w:hAnsi="仿宋" w:eastAsia="仿宋"/>
          <w:color w:val="auto"/>
          <w:szCs w:val="32"/>
          <w:highlight w:val="none"/>
        </w:rPr>
        <w:t>年底，“十三五”期间已建农村生活污水治理设施运行率达到90%，完成98个行政村环境综合整治，农村生活污水治理率达到30%。完成</w:t>
      </w:r>
      <w:r>
        <w:rPr>
          <w:rFonts w:hint="eastAsia" w:ascii="仿宋" w:hAnsi="仿宋" w:eastAsia="仿宋"/>
          <w:color w:val="auto"/>
          <w:szCs w:val="32"/>
          <w:highlight w:val="none"/>
          <w:lang w:val="en-US" w:eastAsia="zh-CN"/>
        </w:rPr>
        <w:t>156</w:t>
      </w:r>
      <w:r>
        <w:rPr>
          <w:rFonts w:hint="eastAsia" w:ascii="仿宋" w:hAnsi="仿宋" w:eastAsia="仿宋"/>
          <w:color w:val="auto"/>
          <w:szCs w:val="32"/>
          <w:highlight w:val="none"/>
        </w:rPr>
        <w:t>个行政村环境</w:t>
      </w:r>
      <w:r>
        <w:rPr>
          <w:rFonts w:hint="eastAsia" w:ascii="仿宋" w:hAnsi="仿宋" w:eastAsia="仿宋"/>
          <w:color w:val="auto"/>
          <w:szCs w:val="32"/>
          <w:highlight w:val="none"/>
          <w:lang w:val="en-US" w:eastAsia="zh-CN"/>
        </w:rPr>
        <w:t>综合</w:t>
      </w:r>
      <w:r>
        <w:rPr>
          <w:rFonts w:hint="eastAsia" w:ascii="仿宋" w:hAnsi="仿宋" w:eastAsia="仿宋"/>
          <w:color w:val="auto"/>
          <w:szCs w:val="32"/>
          <w:highlight w:val="none"/>
        </w:rPr>
        <w:t>整治</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rPr>
        <w:t>全市农村生活污水治理率达到</w:t>
      </w:r>
      <w:r>
        <w:rPr>
          <w:rFonts w:hint="eastAsia" w:ascii="仿宋" w:hAnsi="仿宋" w:eastAsia="仿宋"/>
          <w:color w:val="auto"/>
          <w:szCs w:val="32"/>
          <w:highlight w:val="none"/>
          <w:lang w:val="en-US" w:eastAsia="zh-CN"/>
        </w:rPr>
        <w:t>40</w:t>
      </w:r>
      <w:r>
        <w:rPr>
          <w:rFonts w:hint="eastAsia" w:ascii="仿宋" w:hAnsi="仿宋" w:eastAsia="仿宋"/>
          <w:color w:val="auto"/>
          <w:szCs w:val="32"/>
          <w:highlight w:val="none"/>
        </w:rPr>
        <w:t>%以上，力争完成62个行政村的生活污水收集处理设施建设。力争完成169个行政村的资源化治理工作。农村生活垃圾治理收运处置体系实现全覆盖，农村垃圾分类覆盖率达到</w:t>
      </w:r>
      <w:r>
        <w:rPr>
          <w:rFonts w:hint="eastAsia" w:ascii="仿宋" w:hAnsi="仿宋" w:eastAsia="仿宋"/>
          <w:color w:val="auto"/>
          <w:szCs w:val="32"/>
          <w:highlight w:val="none"/>
          <w:lang w:val="en-US" w:eastAsia="zh-CN"/>
        </w:rPr>
        <w:t>95</w:t>
      </w:r>
      <w:r>
        <w:rPr>
          <w:rFonts w:hint="eastAsia" w:ascii="仿宋" w:hAnsi="仿宋" w:eastAsia="仿宋"/>
          <w:color w:val="auto"/>
          <w:szCs w:val="32"/>
          <w:highlight w:val="none"/>
        </w:rPr>
        <w:t>%以上。</w:t>
      </w:r>
      <w:r>
        <w:rPr>
          <w:rFonts w:hint="eastAsia" w:ascii="仿宋" w:hAnsi="仿宋" w:eastAsia="仿宋"/>
          <w:color w:val="auto"/>
          <w:szCs w:val="32"/>
          <w:highlight w:val="none"/>
          <w:lang w:val="en-US" w:eastAsia="zh-CN"/>
        </w:rPr>
        <w:t>推进农村黑臭水体整治。按照“一河（塘、沟、渠）一策”原则，</w:t>
      </w:r>
      <w:r>
        <w:rPr>
          <w:rFonts w:hint="eastAsia" w:ascii="仿宋" w:hAnsi="仿宋" w:eastAsia="仿宋" w:cs="仿宋"/>
          <w:color w:val="auto"/>
          <w:sz w:val="32"/>
          <w:szCs w:val="32"/>
          <w:highlight w:val="none"/>
        </w:rPr>
        <w:t>每年开展农村黑臭水体排查识别工作，对排查出的农村黑臭水体，按照辽宁省形成的可复制、可推广的农村黑臭水体治理模式及治理技术体系实施综合治理。建立长效管理机制，防止反弹。</w:t>
      </w:r>
      <w:r>
        <w:rPr>
          <w:rFonts w:hint="eastAsia" w:ascii="仿宋" w:hAnsi="仿宋" w:eastAsia="仿宋"/>
          <w:color w:val="auto"/>
          <w:szCs w:val="32"/>
          <w:highlight w:val="none"/>
          <w:lang w:val="en-US" w:eastAsia="zh-CN"/>
        </w:rPr>
        <w:t>到2025年，农村黑臭水体全部完成治理。</w:t>
      </w:r>
    </w:p>
    <w:p>
      <w:pPr>
        <w:pStyle w:val="23"/>
        <w:spacing w:line="600" w:lineRule="exact"/>
        <w:ind w:firstLine="640"/>
        <w:rPr>
          <w:rFonts w:asciiTheme="minorEastAsia" w:hAnsiTheme="minorEastAsia" w:eastAsiaTheme="minorEastAsia"/>
          <w:b/>
          <w:bCs/>
          <w:color w:val="auto"/>
          <w:szCs w:val="32"/>
          <w:highlight w:val="none"/>
        </w:rPr>
      </w:pPr>
      <w:r>
        <w:rPr>
          <w:rFonts w:hint="eastAsia" w:asciiTheme="minorEastAsia" w:hAnsiTheme="minorEastAsia" w:eastAsiaTheme="minorEastAsia"/>
          <w:b/>
          <w:bCs/>
          <w:color w:val="auto"/>
          <w:szCs w:val="32"/>
          <w:highlight w:val="none"/>
        </w:rPr>
        <w:t>（七）强化农村生态环境监管</w:t>
      </w:r>
    </w:p>
    <w:p>
      <w:pPr>
        <w:pStyle w:val="23"/>
        <w:spacing w:line="600" w:lineRule="exact"/>
        <w:ind w:firstLine="640"/>
        <w:rPr>
          <w:rFonts w:hint="eastAsia" w:ascii="仿宋" w:hAnsi="仿宋" w:eastAsia="仿宋"/>
          <w:color w:val="auto"/>
          <w:szCs w:val="32"/>
          <w:highlight w:val="none"/>
        </w:rPr>
      </w:pPr>
      <w:r>
        <w:rPr>
          <w:rFonts w:hint="eastAsia" w:ascii="仿宋" w:hAnsi="仿宋" w:eastAsia="仿宋"/>
          <w:color w:val="auto"/>
          <w:szCs w:val="32"/>
          <w:highlight w:val="none"/>
        </w:rPr>
        <w:t>以县域为单元，对农村饮水安全、污水、垃圾、畜禽粪污等重点治理项目以及农村环境质量改善情况进行考核，建立农村县域生态环境质量考核指标体系。针对黑臭水体、垃圾、畜禽粪污等问题，在微信客户端搭建农村环保监管平台，精准解决农村环境问题。建立以行政村为基本单元的农村水环境信息大数据管理系统，汇总基础信息、治理设施运行和环境质量情况，以问题为导向，切实提高</w:t>
      </w:r>
      <w:r>
        <w:rPr>
          <w:rFonts w:hint="eastAsia" w:ascii="仿宋" w:hAnsi="仿宋" w:eastAsia="仿宋"/>
          <w:color w:val="auto"/>
          <w:szCs w:val="32"/>
          <w:highlight w:val="none"/>
          <w:lang w:val="en-US" w:eastAsia="zh-CN"/>
        </w:rPr>
        <w:t>治理</w:t>
      </w:r>
      <w:r>
        <w:rPr>
          <w:rFonts w:hint="eastAsia" w:ascii="仿宋" w:hAnsi="仿宋" w:eastAsia="仿宋"/>
          <w:color w:val="auto"/>
          <w:szCs w:val="32"/>
          <w:highlight w:val="none"/>
        </w:rPr>
        <w:t>成效，初步建成农村水环境管理信息系统和农村环境问题举报系统。建立农村监测执法问题清单，建立农村突出生态环境问题清单，跟踪管理，确保问题解决销号。到2025年，建立农村生活污水处理设施运维工作绩效考核管理机制，污水设施财政运行保障清单，全面推广农村污水治理设施社会化运维，经费由县级财政保障，县(区)为主，省、市级予以适当补助。</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522" w:type="dxa"/>
            <w:tcBorders>
              <w:top w:val="single" w:color="auto" w:sz="4" w:space="0"/>
              <w:left w:val="single" w:color="auto" w:sz="4" w:space="0"/>
              <w:bottom w:val="single" w:color="auto" w:sz="4" w:space="0"/>
              <w:right w:val="single" w:color="auto" w:sz="4" w:space="0"/>
            </w:tcBorders>
          </w:tcPr>
          <w:p>
            <w:pPr>
              <w:spacing w:line="400" w:lineRule="exact"/>
              <w:jc w:val="center"/>
              <w:rPr>
                <w:rFonts w:hint="default" w:eastAsiaTheme="minorEastAsia"/>
                <w:color w:val="auto"/>
                <w:highlight w:val="none"/>
                <w:lang w:val="en-US" w:eastAsia="zh-CN"/>
              </w:rPr>
            </w:pPr>
            <w:r>
              <w:rPr>
                <w:rFonts w:hint="eastAsia" w:ascii="楷体" w:hAnsi="楷体" w:eastAsia="楷体" w:cs="仿宋"/>
                <w:b/>
                <w:bCs/>
                <w:color w:val="auto"/>
                <w:sz w:val="28"/>
                <w:szCs w:val="28"/>
                <w:highlight w:val="none"/>
              </w:rPr>
              <w:t>专栏</w:t>
            </w:r>
            <w:r>
              <w:rPr>
                <w:rFonts w:hint="eastAsia" w:ascii="楷体" w:hAnsi="楷体" w:eastAsia="楷体" w:cs="仿宋"/>
                <w:b/>
                <w:bCs/>
                <w:color w:val="auto"/>
                <w:sz w:val="28"/>
                <w:szCs w:val="28"/>
                <w:highlight w:val="none"/>
                <w:lang w:val="en-US" w:eastAsia="zh-CN"/>
              </w:rPr>
              <w:t>7</w:t>
            </w:r>
            <w:r>
              <w:rPr>
                <w:rFonts w:hint="eastAsia" w:ascii="楷体" w:hAnsi="楷体" w:eastAsia="楷体" w:cs="仿宋"/>
                <w:b/>
                <w:bCs/>
                <w:color w:val="auto"/>
                <w:sz w:val="28"/>
                <w:szCs w:val="28"/>
                <w:highlight w:val="none"/>
              </w:rPr>
              <w:t>：人居环境重点项目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Borders>
              <w:top w:val="single" w:color="auto" w:sz="4" w:space="0"/>
              <w:left w:val="single" w:color="auto" w:sz="4" w:space="0"/>
              <w:bottom w:val="single" w:color="auto" w:sz="4" w:space="0"/>
              <w:right w:val="single" w:color="auto" w:sz="4" w:space="0"/>
            </w:tcBorders>
          </w:tcPr>
          <w:p>
            <w:pPr>
              <w:numPr>
                <w:ilvl w:val="0"/>
                <w:numId w:val="7"/>
              </w:numPr>
              <w:spacing w:line="400" w:lineRule="exact"/>
              <w:jc w:val="left"/>
            </w:pPr>
            <w:r>
              <w:rPr>
                <w:rFonts w:hint="eastAsia"/>
                <w:lang w:val="en-US" w:eastAsia="zh-CN"/>
              </w:rPr>
              <w:t>新宾满族自治县2022年农村生活污水治理项目</w:t>
            </w:r>
          </w:p>
          <w:p>
            <w:pPr>
              <w:pStyle w:val="2"/>
              <w:numPr>
                <w:ilvl w:val="0"/>
                <w:numId w:val="7"/>
              </w:numPr>
              <w:ind w:left="0" w:leftChars="0" w:firstLine="0" w:firstLineChars="0"/>
              <w:rPr>
                <w:rFonts w:hint="eastAsia"/>
                <w:lang w:val="en-US" w:eastAsia="zh-CN"/>
              </w:rPr>
            </w:pPr>
            <w:r>
              <w:rPr>
                <w:rFonts w:hint="eastAsia"/>
                <w:lang w:val="en-US" w:eastAsia="zh-CN"/>
              </w:rPr>
              <w:t>抚顺县大伙房水库周边农村生活污水治理项目</w:t>
            </w:r>
          </w:p>
          <w:p>
            <w:pPr>
              <w:pStyle w:val="2"/>
              <w:numPr>
                <w:ilvl w:val="0"/>
                <w:numId w:val="7"/>
              </w:numPr>
              <w:ind w:left="0" w:leftChars="0" w:firstLine="0" w:firstLineChars="0"/>
              <w:rPr>
                <w:rFonts w:hint="default"/>
                <w:lang w:val="en-US" w:eastAsia="zh-CN"/>
              </w:rPr>
            </w:pPr>
            <w:r>
              <w:rPr>
                <w:rFonts w:hint="eastAsia"/>
                <w:lang w:val="en-US" w:eastAsia="zh-CN"/>
              </w:rPr>
              <w:t>抚顺市清原县柴河源头区农村生活污水治理项目</w:t>
            </w:r>
          </w:p>
        </w:tc>
      </w:tr>
    </w:tbl>
    <w:p>
      <w:pPr>
        <w:pStyle w:val="3"/>
        <w:spacing w:beforeAutospacing="0" w:afterAutospacing="0" w:line="800" w:lineRule="exact"/>
        <w:ind w:firstLine="160" w:firstLineChars="50"/>
        <w:rPr>
          <w:rFonts w:hint="default" w:asciiTheme="minorEastAsia" w:hAnsiTheme="minorEastAsia" w:eastAsiaTheme="minorEastAsia"/>
          <w:color w:val="auto"/>
          <w:sz w:val="32"/>
          <w:szCs w:val="32"/>
          <w:highlight w:val="none"/>
          <w:shd w:val="clear" w:color="auto" w:fill="FFFFFF"/>
        </w:rPr>
      </w:pPr>
      <w:bookmarkStart w:id="43" w:name="_Toc21953"/>
      <w:bookmarkStart w:id="44" w:name="_Toc223"/>
      <w:r>
        <w:rPr>
          <w:rFonts w:hint="eastAsia" w:asciiTheme="minorEastAsia" w:hAnsiTheme="minorEastAsia" w:eastAsiaTheme="minorEastAsia"/>
          <w:color w:val="auto"/>
          <w:sz w:val="32"/>
          <w:szCs w:val="32"/>
          <w:highlight w:val="none"/>
          <w:shd w:val="clear" w:color="auto" w:fill="FFFFFF"/>
          <w:lang w:val="en-US" w:eastAsia="zh-CN"/>
        </w:rPr>
        <w:t>七</w:t>
      </w:r>
      <w:r>
        <w:rPr>
          <w:rFonts w:asciiTheme="minorEastAsia" w:hAnsiTheme="minorEastAsia" w:eastAsiaTheme="minorEastAsia"/>
          <w:color w:val="auto"/>
          <w:sz w:val="32"/>
          <w:szCs w:val="32"/>
          <w:highlight w:val="none"/>
          <w:shd w:val="clear" w:color="auto" w:fill="FFFFFF"/>
        </w:rPr>
        <w:t>、统筹山水林田湖草</w:t>
      </w:r>
      <w:r>
        <w:rPr>
          <w:rFonts w:hint="eastAsia" w:asciiTheme="minorEastAsia" w:hAnsiTheme="minorEastAsia" w:eastAsiaTheme="minorEastAsia"/>
          <w:color w:val="auto"/>
          <w:sz w:val="32"/>
          <w:szCs w:val="32"/>
          <w:highlight w:val="none"/>
          <w:shd w:val="clear" w:color="auto" w:fill="FFFFFF"/>
          <w:lang w:val="en-US" w:eastAsia="zh-CN"/>
        </w:rPr>
        <w:t>沙</w:t>
      </w:r>
      <w:r>
        <w:rPr>
          <w:rFonts w:asciiTheme="minorEastAsia" w:hAnsiTheme="minorEastAsia" w:eastAsiaTheme="minorEastAsia"/>
          <w:color w:val="auto"/>
          <w:sz w:val="32"/>
          <w:szCs w:val="32"/>
          <w:highlight w:val="none"/>
          <w:shd w:val="clear" w:color="auto" w:fill="FFFFFF"/>
        </w:rPr>
        <w:t>一体化保护和修复，提升生态系统功能</w:t>
      </w:r>
      <w:bookmarkEnd w:id="43"/>
    </w:p>
    <w:bookmarkEnd w:id="44"/>
    <w:p>
      <w:pPr>
        <w:pStyle w:val="23"/>
        <w:spacing w:line="600" w:lineRule="exact"/>
        <w:ind w:firstLine="640"/>
        <w:rPr>
          <w:rFonts w:ascii="仿宋" w:hAnsi="仿宋" w:eastAsia="仿宋" w:cs="楷体"/>
          <w:color w:val="auto"/>
          <w:szCs w:val="32"/>
          <w:highlight w:val="none"/>
        </w:rPr>
      </w:pPr>
      <w:r>
        <w:rPr>
          <w:rFonts w:hint="eastAsia" w:ascii="仿宋" w:hAnsi="仿宋" w:eastAsia="仿宋" w:cs="楷体"/>
          <w:color w:val="auto"/>
          <w:szCs w:val="32"/>
          <w:highlight w:val="none"/>
        </w:rPr>
        <w:t>以“恢复生态系统功能、优化国土空间格局，保障水质稳定安全，提升水源涵养能力”为主要目标，以统筹山水林田湖草</w:t>
      </w:r>
      <w:r>
        <w:rPr>
          <w:rFonts w:hint="eastAsia" w:ascii="仿宋" w:hAnsi="仿宋" w:eastAsia="仿宋" w:cs="楷体"/>
          <w:color w:val="auto"/>
          <w:szCs w:val="32"/>
          <w:highlight w:val="none"/>
          <w:lang w:val="en-US" w:eastAsia="zh-CN"/>
        </w:rPr>
        <w:t>沙</w:t>
      </w:r>
      <w:r>
        <w:rPr>
          <w:rFonts w:hint="eastAsia" w:ascii="仿宋" w:hAnsi="仿宋" w:eastAsia="仿宋" w:cs="楷体"/>
          <w:color w:val="auto"/>
          <w:szCs w:val="32"/>
          <w:highlight w:val="none"/>
        </w:rPr>
        <w:t>一体化保护和修复为主线，科学布局和组织实施重要生态系统保护和修复重大工程，着力提高生态系统自我修复能力，切实增强生态系统稳定性，不断提升生态系统功能。</w:t>
      </w:r>
    </w:p>
    <w:p>
      <w:pPr>
        <w:pStyle w:val="23"/>
        <w:spacing w:line="600" w:lineRule="exact"/>
        <w:ind w:firstLine="643"/>
        <w:outlineLvl w:val="1"/>
        <w:rPr>
          <w:rFonts w:asciiTheme="minorEastAsia" w:hAnsiTheme="minorEastAsia" w:eastAsiaTheme="minorEastAsia"/>
          <w:b/>
          <w:color w:val="auto"/>
          <w:highlight w:val="none"/>
        </w:rPr>
      </w:pPr>
      <w:bookmarkStart w:id="45" w:name="_Toc10357"/>
      <w:bookmarkStart w:id="46" w:name="_Toc18445"/>
      <w:r>
        <w:rPr>
          <w:rFonts w:hint="eastAsia" w:asciiTheme="minorEastAsia" w:hAnsiTheme="minorEastAsia" w:eastAsiaTheme="minorEastAsia"/>
          <w:b/>
          <w:color w:val="auto"/>
          <w:highlight w:val="none"/>
        </w:rPr>
        <w:t>（一）建立生态环境分区引导机制</w:t>
      </w:r>
      <w:bookmarkEnd w:id="45"/>
    </w:p>
    <w:p>
      <w:pPr>
        <w:pStyle w:val="23"/>
        <w:spacing w:line="600" w:lineRule="exact"/>
        <w:ind w:firstLine="640"/>
        <w:rPr>
          <w:rFonts w:ascii="仿宋" w:hAnsi="仿宋" w:eastAsia="仿宋" w:cs="楷体"/>
          <w:color w:val="auto"/>
          <w:szCs w:val="32"/>
          <w:highlight w:val="none"/>
        </w:rPr>
      </w:pPr>
      <w:r>
        <w:rPr>
          <w:rFonts w:hint="eastAsia" w:ascii="楷体" w:hAnsi="楷体" w:eastAsia="楷体"/>
          <w:bCs/>
          <w:color w:val="auto"/>
          <w:szCs w:val="32"/>
          <w:highlight w:val="none"/>
        </w:rPr>
        <w:t>1.实施“三线一单”生态环境分区管控。</w:t>
      </w:r>
      <w:r>
        <w:rPr>
          <w:rFonts w:hint="eastAsia" w:ascii="仿宋" w:hAnsi="仿宋" w:eastAsia="仿宋" w:cs="楷体"/>
          <w:color w:val="auto"/>
          <w:szCs w:val="32"/>
          <w:highlight w:val="none"/>
        </w:rPr>
        <w:t>立足资源环境承载能力不断强化“三线一单”生态环境分区管控的硬约束和政策引领作用，建立动态更新和调整机制。加强“三线一单”在相关专项规划编制、产业政策制定、城镇建设、资源开发、建设项目选址、执法监管等方面的应用。不断健全环境影响评价等生态环境源头预防体系，落实“三线一单”分区管控、规划环评审查和建设项目环评审批联动机制。</w:t>
      </w:r>
    </w:p>
    <w:p>
      <w:pPr>
        <w:pStyle w:val="23"/>
        <w:spacing w:line="600" w:lineRule="exact"/>
        <w:ind w:firstLine="640"/>
        <w:rPr>
          <w:rFonts w:ascii="仿宋" w:hAnsi="仿宋" w:eastAsia="仿宋" w:cs="楷体"/>
          <w:color w:val="auto"/>
          <w:szCs w:val="32"/>
          <w:highlight w:val="none"/>
        </w:rPr>
      </w:pPr>
      <w:r>
        <w:rPr>
          <w:rFonts w:hint="eastAsia" w:ascii="楷体" w:hAnsi="楷体" w:eastAsia="楷体"/>
          <w:bCs/>
          <w:color w:val="auto"/>
          <w:szCs w:val="32"/>
          <w:highlight w:val="none"/>
        </w:rPr>
        <w:t>2.制定推动分区管控行动计划。</w:t>
      </w:r>
      <w:r>
        <w:rPr>
          <w:rFonts w:hint="eastAsia" w:ascii="仿宋" w:hAnsi="仿宋" w:eastAsia="仿宋" w:cs="楷体"/>
          <w:color w:val="auto"/>
          <w:szCs w:val="32"/>
          <w:highlight w:val="none"/>
        </w:rPr>
        <w:t>2021年底前，推动“三线一单”实施方案发布落地；推行规划环评清单式管理，实现重点产业园区规划环评全覆盖。202</w:t>
      </w:r>
      <w:r>
        <w:rPr>
          <w:rFonts w:hint="eastAsia" w:ascii="仿宋" w:hAnsi="仿宋" w:eastAsia="仿宋" w:cs="楷体"/>
          <w:color w:val="auto"/>
          <w:szCs w:val="32"/>
          <w:highlight w:val="none"/>
          <w:lang w:val="en-US" w:eastAsia="zh-CN"/>
        </w:rPr>
        <w:t>3</w:t>
      </w:r>
      <w:r>
        <w:rPr>
          <w:rFonts w:hint="eastAsia" w:ascii="仿宋" w:hAnsi="仿宋" w:eastAsia="仿宋" w:cs="楷体"/>
          <w:color w:val="auto"/>
          <w:szCs w:val="32"/>
          <w:highlight w:val="none"/>
        </w:rPr>
        <w:t>年底前，完成产业园区规划环评措施落地检查，跟踪推进地方政府作出的环保搬迁和区域污染物削减等承诺，强化对园区环境基础设施建设的督查督办，搞好跟踪问效。2024年底前，逐步健全“三线一单”配套的规章制度和管理政策。2025年底前，形成基本完善的区域生态环境空间管控体系。</w:t>
      </w:r>
    </w:p>
    <w:p>
      <w:pPr>
        <w:pStyle w:val="23"/>
        <w:spacing w:line="600" w:lineRule="exact"/>
        <w:ind w:firstLine="643"/>
        <w:outlineLvl w:val="1"/>
        <w:rPr>
          <w:rFonts w:cs="楷体" w:asciiTheme="minorEastAsia" w:hAnsiTheme="minorEastAsia" w:eastAsiaTheme="minorEastAsia"/>
          <w:b/>
          <w:color w:val="auto"/>
          <w:szCs w:val="32"/>
          <w:highlight w:val="none"/>
        </w:rPr>
      </w:pPr>
      <w:bookmarkStart w:id="47" w:name="_Toc22131"/>
      <w:r>
        <w:rPr>
          <w:rFonts w:hint="eastAsia" w:asciiTheme="minorEastAsia" w:hAnsiTheme="minorEastAsia" w:eastAsiaTheme="minorEastAsia"/>
          <w:b/>
          <w:color w:val="auto"/>
          <w:highlight w:val="none"/>
        </w:rPr>
        <w:t>（二）强化国土生态空间管控</w:t>
      </w:r>
      <w:bookmarkEnd w:id="46"/>
      <w:bookmarkEnd w:id="47"/>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rPr>
        <w:t>1.构建合理生态空间体系。</w:t>
      </w:r>
      <w:r>
        <w:rPr>
          <w:rFonts w:hint="eastAsia" w:ascii="仿宋" w:hAnsi="仿宋" w:eastAsia="仿宋"/>
          <w:color w:val="auto"/>
          <w:szCs w:val="32"/>
          <w:highlight w:val="none"/>
        </w:rPr>
        <w:t>以辽河流域（浑太水系）上游抚顺段国家水源涵养和生物多样性保护生态功能区为重点</w:t>
      </w:r>
      <w:r>
        <w:rPr>
          <w:rFonts w:hint="eastAsia" w:ascii="仿宋" w:hAnsi="仿宋" w:eastAsia="仿宋"/>
          <w:color w:val="auto"/>
          <w:szCs w:val="32"/>
          <w:highlight w:val="none"/>
          <w:lang w:eastAsia="zh-CN"/>
        </w:rPr>
        <w:t>，</w:t>
      </w:r>
      <w:r>
        <w:rPr>
          <w:rFonts w:hint="eastAsia" w:ascii="仿宋" w:hAnsi="仿宋" w:eastAsia="仿宋"/>
          <w:color w:val="auto"/>
          <w:szCs w:val="32"/>
          <w:highlight w:val="none"/>
          <w:lang w:val="en-US" w:eastAsia="zh-CN"/>
        </w:rPr>
        <w:t>开展水系一体化保护与保护</w:t>
      </w:r>
      <w:r>
        <w:rPr>
          <w:rFonts w:hint="eastAsia" w:ascii="仿宋" w:hAnsi="仿宋" w:eastAsia="仿宋"/>
          <w:color w:val="auto"/>
          <w:szCs w:val="32"/>
          <w:highlight w:val="none"/>
        </w:rPr>
        <w:t>。严守生态保护红线，开展区域生态评价。保证全市受生态</w:t>
      </w:r>
      <w:r>
        <w:rPr>
          <w:rFonts w:hint="eastAsia" w:ascii="仿宋" w:hAnsi="仿宋" w:eastAsia="仿宋"/>
          <w:color w:val="auto"/>
          <w:szCs w:val="32"/>
          <w:highlight w:val="none"/>
          <w:lang w:val="en-US" w:eastAsia="zh-CN"/>
        </w:rPr>
        <w:t>红线</w:t>
      </w:r>
      <w:r>
        <w:rPr>
          <w:rFonts w:hint="eastAsia" w:ascii="仿宋" w:hAnsi="仿宋" w:eastAsia="仿宋"/>
          <w:color w:val="auto"/>
          <w:szCs w:val="32"/>
          <w:highlight w:val="none"/>
        </w:rPr>
        <w:t>保护面积</w:t>
      </w:r>
      <w:r>
        <w:rPr>
          <w:rFonts w:hint="eastAsia" w:ascii="仿宋" w:hAnsi="仿宋" w:eastAsia="仿宋"/>
          <w:color w:val="auto"/>
          <w:szCs w:val="32"/>
          <w:highlight w:val="none"/>
          <w:lang w:val="en-US" w:eastAsia="zh-CN"/>
        </w:rPr>
        <w:t>不减少</w:t>
      </w:r>
      <w:r>
        <w:rPr>
          <w:rFonts w:hint="eastAsia" w:ascii="仿宋" w:hAnsi="仿宋" w:eastAsia="仿宋"/>
          <w:color w:val="auto"/>
          <w:szCs w:val="32"/>
          <w:highlight w:val="none"/>
        </w:rPr>
        <w:t>，占国土面积比例在</w:t>
      </w:r>
      <w:r>
        <w:rPr>
          <w:rFonts w:ascii="仿宋" w:hAnsi="仿宋" w:eastAsia="仿宋"/>
          <w:color w:val="auto"/>
          <w:szCs w:val="32"/>
          <w:highlight w:val="none"/>
        </w:rPr>
        <w:t>29%</w:t>
      </w:r>
      <w:r>
        <w:rPr>
          <w:rFonts w:hint="eastAsia" w:ascii="仿宋" w:hAnsi="仿宋" w:eastAsia="仿宋"/>
          <w:color w:val="auto"/>
          <w:szCs w:val="32"/>
          <w:highlight w:val="none"/>
        </w:rPr>
        <w:t>以上。落实空间规划体系，执行“三线一单”成果，划定生产、生活、生态空间管制界限，落实用途管制，加快构建人与自然和谐的空间开发保护格局。</w:t>
      </w:r>
    </w:p>
    <w:p>
      <w:pPr>
        <w:pStyle w:val="23"/>
        <w:spacing w:line="600" w:lineRule="exact"/>
        <w:ind w:firstLine="640"/>
        <w:rPr>
          <w:rFonts w:ascii="仿宋" w:hAnsi="仿宋" w:eastAsia="仿宋"/>
          <w:color w:val="auto"/>
          <w:szCs w:val="32"/>
          <w:highlight w:val="none"/>
        </w:rPr>
      </w:pPr>
      <w:r>
        <w:rPr>
          <w:rFonts w:hint="eastAsia" w:ascii="楷体" w:hAnsi="楷体" w:eastAsia="楷体"/>
          <w:bCs/>
          <w:color w:val="auto"/>
          <w:szCs w:val="32"/>
          <w:highlight w:val="none"/>
        </w:rPr>
        <w:t>2.建立以自然公园为主体的自然保护地体系。</w:t>
      </w:r>
      <w:r>
        <w:rPr>
          <w:rFonts w:hint="eastAsia" w:ascii="仿宋" w:hAnsi="仿宋" w:eastAsia="仿宋"/>
          <w:color w:val="auto"/>
          <w:szCs w:val="32"/>
          <w:highlight w:val="none"/>
        </w:rPr>
        <w:t>制定抚顺市自然保护地划分及保护实施方案，将自然保护区、风景名胜区、地质公园、湿地公园、森林公园等进行功能重组，整合优化现有各类自然保护地，建立分类科学、布局合理、保护有力、管理有效的自然保护地体系。根据生态系统功能，科学制定生态保护红线与自然保护地的保护措施，以提高生态系统整体性、连通性为目标。</w:t>
      </w:r>
    </w:p>
    <w:p>
      <w:pPr>
        <w:pStyle w:val="23"/>
        <w:spacing w:line="600" w:lineRule="exact"/>
        <w:ind w:firstLine="640"/>
        <w:jc w:val="both"/>
        <w:rPr>
          <w:rFonts w:ascii="仿宋" w:hAnsi="仿宋" w:eastAsia="仿宋"/>
          <w:color w:val="auto"/>
          <w:szCs w:val="32"/>
          <w:highlight w:val="none"/>
        </w:rPr>
      </w:pPr>
      <w:r>
        <w:rPr>
          <w:rFonts w:hint="eastAsia" w:ascii="楷体" w:hAnsi="楷体" w:eastAsia="楷体"/>
          <w:bCs/>
          <w:color w:val="auto"/>
          <w:szCs w:val="32"/>
          <w:highlight w:val="none"/>
        </w:rPr>
        <w:t>3.筑牢辽东山地丘陵生态屏障。</w:t>
      </w:r>
      <w:r>
        <w:rPr>
          <w:rFonts w:hint="eastAsia" w:ascii="仿宋" w:hAnsi="仿宋" w:eastAsia="仿宋"/>
          <w:color w:val="auto"/>
          <w:szCs w:val="32"/>
          <w:highlight w:val="none"/>
        </w:rPr>
        <w:t>以辽宁省水源涵养生态功能区划定的区域为界限，以水源涵养生态功能区生态修复为重点，实施西露天矿及周边地区生态恢复治理工程、浑河流域森林生态修复及水环境治理工程，全面提升森林覆盖率和保有量，提升区域水源涵养能力和碳汇功能。加强湿地保护管理，持续推进湿地功能和植被恢复。</w:t>
      </w:r>
      <w:r>
        <w:rPr>
          <w:rFonts w:hint="eastAsia" w:ascii="仿宋" w:hAnsi="仿宋" w:eastAsia="仿宋"/>
          <w:color w:val="auto"/>
          <w:szCs w:val="32"/>
          <w:highlight w:val="none"/>
          <w:lang w:val="en-US" w:eastAsia="zh-CN"/>
        </w:rPr>
        <w:t>到2025年，建设</w:t>
      </w:r>
      <w:r>
        <w:rPr>
          <w:rFonts w:hint="eastAsia" w:ascii="仿宋" w:hAnsi="仿宋" w:eastAsia="仿宋"/>
          <w:color w:val="auto"/>
          <w:szCs w:val="32"/>
          <w:highlight w:val="none"/>
        </w:rPr>
        <w:t>省级湿地公园</w:t>
      </w:r>
      <w:r>
        <w:rPr>
          <w:rFonts w:hint="eastAsia" w:ascii="仿宋" w:hAnsi="仿宋" w:eastAsia="仿宋"/>
          <w:color w:val="auto"/>
          <w:szCs w:val="32"/>
          <w:highlight w:val="none"/>
          <w:lang w:val="en-US" w:eastAsia="zh-CN"/>
        </w:rPr>
        <w:t>2</w:t>
      </w:r>
      <w:r>
        <w:rPr>
          <w:rFonts w:hint="eastAsia" w:ascii="仿宋" w:hAnsi="仿宋" w:eastAsia="仿宋"/>
          <w:color w:val="auto"/>
          <w:szCs w:val="32"/>
          <w:highlight w:val="none"/>
        </w:rPr>
        <w:t>处。</w:t>
      </w:r>
    </w:p>
    <w:p>
      <w:pPr>
        <w:pStyle w:val="23"/>
        <w:spacing w:line="600" w:lineRule="exact"/>
        <w:ind w:firstLine="643"/>
        <w:outlineLvl w:val="1"/>
        <w:rPr>
          <w:rFonts w:asciiTheme="minorEastAsia" w:hAnsiTheme="minorEastAsia" w:eastAsiaTheme="minorEastAsia"/>
          <w:b/>
          <w:color w:val="auto"/>
          <w:szCs w:val="32"/>
          <w:highlight w:val="none"/>
        </w:rPr>
      </w:pPr>
      <w:bookmarkStart w:id="48" w:name="_Toc19609"/>
      <w:r>
        <w:rPr>
          <w:rFonts w:hint="eastAsia" w:asciiTheme="minorEastAsia" w:hAnsiTheme="minorEastAsia" w:eastAsiaTheme="minorEastAsia"/>
          <w:b/>
          <w:color w:val="auto"/>
          <w:highlight w:val="none"/>
        </w:rPr>
        <w:t>（三）加强生态系统保护和修复</w:t>
      </w:r>
      <w:bookmarkEnd w:id="48"/>
    </w:p>
    <w:p>
      <w:pPr>
        <w:pStyle w:val="23"/>
        <w:spacing w:line="600" w:lineRule="exact"/>
        <w:ind w:firstLine="640"/>
        <w:rPr>
          <w:rFonts w:ascii="楷体" w:hAnsi="楷体" w:eastAsia="楷体" w:cs="仿宋_GB2312"/>
          <w:color w:val="auto"/>
          <w:szCs w:val="32"/>
          <w:highlight w:val="none"/>
        </w:rPr>
      </w:pPr>
      <w:r>
        <w:rPr>
          <w:rFonts w:hint="eastAsia" w:ascii="楷体" w:hAnsi="楷体" w:eastAsia="楷体"/>
          <w:color w:val="auto"/>
          <w:szCs w:val="32"/>
          <w:highlight w:val="none"/>
        </w:rPr>
        <w:t>1.实施</w:t>
      </w:r>
      <w:r>
        <w:rPr>
          <w:rFonts w:hint="eastAsia" w:ascii="楷体" w:hAnsi="楷体" w:eastAsia="楷体" w:cs="仿宋_GB2312"/>
          <w:color w:val="auto"/>
          <w:szCs w:val="32"/>
          <w:highlight w:val="none"/>
        </w:rPr>
        <w:t>森林生态修复工程。</w:t>
      </w:r>
      <w:r>
        <w:rPr>
          <w:rFonts w:hint="eastAsia" w:ascii="仿宋" w:hAnsi="仿宋" w:eastAsia="仿宋" w:cs="仿宋_GB2312"/>
          <w:color w:val="auto"/>
          <w:szCs w:val="32"/>
          <w:highlight w:val="none"/>
        </w:rPr>
        <w:t>加快造林、中幼林抚育、低效林改造，开展大伙房汇水流域水源涵养林建设保护，提高涵养效能，增加大伙房汇水流域入库河流流量，提高流域和水库水质。提高林分质量和生长量，增加森林生态功能和涵养水源能力。优化水源涵养林木品种结构，支持加大红松林、阔叶林的种植比例，增加蓄水能力。完善生态公益林补偿机制,提高水源涵养地生态补偿标准，推进生态补偿试点，完善补偿政策。</w:t>
      </w:r>
    </w:p>
    <w:p>
      <w:pPr>
        <w:pStyle w:val="23"/>
        <w:spacing w:line="600" w:lineRule="exact"/>
        <w:ind w:firstLine="640"/>
        <w:rPr>
          <w:rFonts w:ascii="仿宋" w:hAnsi="仿宋" w:eastAsia="仿宋" w:cs="仿宋_GB2312"/>
          <w:color w:val="auto"/>
          <w:szCs w:val="32"/>
          <w:highlight w:val="none"/>
        </w:rPr>
      </w:pPr>
      <w:r>
        <w:rPr>
          <w:rFonts w:hint="eastAsia" w:ascii="楷体" w:hAnsi="楷体" w:eastAsia="楷体" w:cs="仿宋_GB2312"/>
          <w:color w:val="auto"/>
          <w:szCs w:val="32"/>
          <w:highlight w:val="none"/>
        </w:rPr>
        <w:t>2.加强林业有害生物综合防治。</w:t>
      </w:r>
      <w:r>
        <w:rPr>
          <w:rFonts w:hint="eastAsia" w:ascii="仿宋" w:hAnsi="仿宋" w:eastAsia="仿宋" w:cs="仿宋_GB2312"/>
          <w:bCs/>
          <w:color w:val="auto"/>
          <w:szCs w:val="32"/>
          <w:highlight w:val="none"/>
        </w:rPr>
        <w:t>以</w:t>
      </w:r>
      <w:r>
        <w:rPr>
          <w:rFonts w:hint="eastAsia" w:ascii="仿宋" w:hAnsi="仿宋" w:eastAsia="仿宋" w:cs="仿宋_GB2312"/>
          <w:color w:val="auto"/>
          <w:szCs w:val="32"/>
          <w:highlight w:val="none"/>
        </w:rPr>
        <w:t>防控抚顺东部山区林地生物疫情为重点，实施森林保护保育区松材线虫疫情防控行动，开展森林有害生物防治普查及有害生物发生的森林综合防治工程，重点防治松材线虫及疫木。</w:t>
      </w:r>
    </w:p>
    <w:p>
      <w:pPr>
        <w:pStyle w:val="23"/>
        <w:spacing w:line="600" w:lineRule="exact"/>
        <w:ind w:firstLine="640"/>
        <w:rPr>
          <w:rFonts w:ascii="仿宋" w:hAnsi="仿宋" w:eastAsia="仿宋" w:cs="仿宋_GB2312"/>
          <w:b/>
          <w:bCs/>
          <w:color w:val="auto"/>
          <w:szCs w:val="32"/>
          <w:highlight w:val="none"/>
        </w:rPr>
      </w:pPr>
      <w:r>
        <w:rPr>
          <w:rFonts w:hint="eastAsia" w:ascii="楷体" w:hAnsi="楷体" w:eastAsia="楷体" w:cs="仿宋_GB2312"/>
          <w:bCs/>
          <w:color w:val="auto"/>
          <w:szCs w:val="32"/>
          <w:highlight w:val="none"/>
          <w:lang w:val="en-US" w:eastAsia="zh-CN"/>
        </w:rPr>
        <w:t>3</w:t>
      </w:r>
      <w:r>
        <w:rPr>
          <w:rFonts w:hint="eastAsia" w:ascii="楷体" w:hAnsi="楷体" w:eastAsia="楷体" w:cs="仿宋_GB2312"/>
          <w:bCs/>
          <w:color w:val="auto"/>
          <w:szCs w:val="32"/>
          <w:highlight w:val="none"/>
        </w:rPr>
        <w:t>.实施浑河流域水环境治理工程。</w:t>
      </w:r>
      <w:r>
        <w:rPr>
          <w:rFonts w:hint="eastAsia" w:ascii="仿宋" w:hAnsi="仿宋" w:eastAsia="仿宋" w:cs="仿宋_GB2312"/>
          <w:color w:val="auto"/>
          <w:szCs w:val="32"/>
          <w:highlight w:val="none"/>
        </w:rPr>
        <w:t>在水土流失重点预防区和重点治理区内，实施域内小流域治理，强化落实谷坊、作业路、小河道治理，蓄水池、水保林和修建固滨笼谷坊、沟道防护、填沟造地、作业路、标志牌等措施。</w:t>
      </w:r>
    </w:p>
    <w:p>
      <w:pPr>
        <w:pStyle w:val="23"/>
        <w:spacing w:line="600" w:lineRule="exact"/>
        <w:ind w:firstLine="640"/>
        <w:rPr>
          <w:rFonts w:ascii="仿宋" w:hAnsi="仿宋" w:eastAsia="仿宋" w:cs="仿宋_GB2312"/>
          <w:color w:val="auto"/>
          <w:szCs w:val="32"/>
          <w:highlight w:val="none"/>
        </w:rPr>
      </w:pPr>
      <w:r>
        <w:rPr>
          <w:rFonts w:hint="eastAsia" w:ascii="楷体" w:hAnsi="楷体" w:eastAsia="楷体" w:cs="仿宋_GB2312"/>
          <w:bCs/>
          <w:color w:val="auto"/>
          <w:szCs w:val="32"/>
          <w:highlight w:val="none"/>
          <w:lang w:val="en-US" w:eastAsia="zh-CN"/>
        </w:rPr>
        <w:t>4</w:t>
      </w:r>
      <w:r>
        <w:rPr>
          <w:rFonts w:hint="eastAsia" w:ascii="楷体" w:hAnsi="楷体" w:eastAsia="楷体" w:cs="仿宋_GB2312"/>
          <w:bCs/>
          <w:color w:val="auto"/>
          <w:szCs w:val="32"/>
          <w:highlight w:val="none"/>
        </w:rPr>
        <w:t>.实施浑河流域农村土地综合整治工程。</w:t>
      </w:r>
      <w:r>
        <w:rPr>
          <w:rFonts w:hint="eastAsia" w:ascii="仿宋" w:hAnsi="仿宋" w:eastAsia="仿宋" w:cs="仿宋_GB2312"/>
          <w:color w:val="auto"/>
          <w:szCs w:val="32"/>
          <w:highlight w:val="none"/>
        </w:rPr>
        <w:t>对流域周边农村低效土地开展土地平整、客土、土壤改良、灌溉与排水工程、道路工程、农田防护与生态环境保持等农村土地综合整治工程。大力开展耕地保护与质量提升工作，因地制宜采用农艺、生物、工程等措施，改良土壤、培肥地力，提高耕地基础生产能力，确保在减少化肥投入的同时，保持农业生产稳定发展。</w:t>
      </w:r>
    </w:p>
    <w:p>
      <w:pPr>
        <w:pStyle w:val="23"/>
        <w:spacing w:line="600" w:lineRule="exact"/>
        <w:ind w:firstLine="640"/>
        <w:jc w:val="both"/>
        <w:rPr>
          <w:rFonts w:hint="eastAsia" w:ascii="仿宋" w:hAnsi="仿宋" w:eastAsia="仿宋"/>
          <w:color w:val="auto"/>
          <w:szCs w:val="32"/>
          <w:highlight w:val="none"/>
          <w:lang w:val="zh-TW" w:eastAsia="zh-TW"/>
        </w:rPr>
      </w:pPr>
      <w:r>
        <w:rPr>
          <w:rFonts w:hint="eastAsia" w:ascii="楷体" w:hAnsi="楷体" w:eastAsia="楷体"/>
          <w:bCs/>
          <w:color w:val="auto"/>
          <w:szCs w:val="32"/>
          <w:highlight w:val="none"/>
          <w:lang w:val="en-US" w:eastAsia="zh-CN"/>
        </w:rPr>
        <w:t>5</w:t>
      </w:r>
      <w:r>
        <w:rPr>
          <w:rFonts w:hint="eastAsia" w:ascii="楷体" w:hAnsi="楷体" w:eastAsia="楷体"/>
          <w:bCs/>
          <w:color w:val="auto"/>
          <w:szCs w:val="32"/>
          <w:highlight w:val="none"/>
        </w:rPr>
        <w:t>.</w:t>
      </w:r>
      <w:r>
        <w:rPr>
          <w:rFonts w:hint="eastAsia" w:ascii="楷体" w:hAnsi="楷体" w:eastAsia="楷体"/>
          <w:bCs/>
          <w:color w:val="auto"/>
          <w:szCs w:val="32"/>
          <w:highlight w:val="none"/>
          <w:lang w:val="zh-TW" w:eastAsia="zh-TW"/>
        </w:rPr>
        <w:t>开展西露天矿综合治理和整合利用。</w:t>
      </w:r>
      <w:r>
        <w:rPr>
          <w:rFonts w:hint="eastAsia" w:ascii="仿宋" w:hAnsi="仿宋" w:eastAsia="仿宋"/>
          <w:color w:val="auto"/>
          <w:szCs w:val="32"/>
          <w:highlight w:val="none"/>
          <w:lang w:val="zh-TW" w:eastAsia="zh-TW"/>
        </w:rPr>
        <w:t>认真贯彻落实习近平总书记重要指示、批示精神，科学论证确定开发治理总体思路。</w:t>
      </w:r>
      <w:r>
        <w:rPr>
          <w:rFonts w:hint="eastAsia" w:ascii="仿宋" w:hAnsi="仿宋" w:eastAsia="仿宋"/>
          <w:color w:val="auto"/>
          <w:szCs w:val="32"/>
          <w:highlight w:val="none"/>
          <w:lang w:val="en-US" w:eastAsia="zh-CN"/>
        </w:rPr>
        <w:t>加快推进以西露天矿为主体的采煤影响区治理开发工程，积极争取国家有关部委和省委省政府的大力支持，争取中央预算内投资专项政策资金支持，加快推进西露天矿综合治理与整合利用前期研究工作，确定绿色低碳综合治理与整合利用方向，吸引大型央企、社会民营资本投资治理开发工程。</w:t>
      </w:r>
      <w:r>
        <w:rPr>
          <w:rFonts w:hint="eastAsia" w:ascii="仿宋" w:hAnsi="仿宋" w:eastAsia="仿宋"/>
          <w:color w:val="auto"/>
          <w:szCs w:val="32"/>
          <w:highlight w:val="none"/>
          <w:lang w:val="zh-TW" w:eastAsia="zh-TW"/>
        </w:rPr>
        <w:t>坚持生态优先、绿色低碳的高质量发展理念，围绕以用定制、用治结合、科学合理、变废为宝、矿城一体、安全高效的工作主线，在西露天矿坑为主体的25平方公里核心区打造生态低碳谷，以75平方公里采煤影响区为主体打造生态低碳产业示范区</w:t>
      </w:r>
      <w:r>
        <w:rPr>
          <w:rFonts w:hint="eastAsia" w:ascii="仿宋" w:hAnsi="仿宋" w:eastAsia="仿宋"/>
          <w:color w:val="auto"/>
          <w:szCs w:val="32"/>
          <w:highlight w:val="none"/>
          <w:lang w:val="zh-TW" w:eastAsia="zh-CN"/>
        </w:rPr>
        <w:t>，</w:t>
      </w:r>
      <w:r>
        <w:rPr>
          <w:rFonts w:hint="eastAsia" w:ascii="仿宋" w:hAnsi="仿宋" w:eastAsia="仿宋"/>
          <w:color w:val="auto"/>
          <w:szCs w:val="32"/>
          <w:highlight w:val="none"/>
          <w:lang w:val="en-US" w:eastAsia="zh-CN"/>
        </w:rPr>
        <w:t>着力构建“一谷、一带、多片区”的空间布局。</w:t>
      </w:r>
      <w:r>
        <w:rPr>
          <w:rFonts w:hint="eastAsia" w:ascii="仿宋" w:hAnsi="仿宋" w:eastAsia="仿宋"/>
          <w:color w:val="auto"/>
          <w:szCs w:val="32"/>
          <w:highlight w:val="none"/>
          <w:lang w:val="zh-TW" w:eastAsia="zh-TW"/>
        </w:rPr>
        <w:t>推进以西露天矿为主的治理利用工程，加速整合利用产业项目落地，实现经济、社会和生态效益协调发展。</w:t>
      </w:r>
    </w:p>
    <w:p>
      <w:pPr>
        <w:pStyle w:val="23"/>
        <w:spacing w:line="600" w:lineRule="exact"/>
        <w:ind w:firstLine="640"/>
        <w:rPr>
          <w:rFonts w:hint="eastAsia" w:ascii="仿宋" w:hAnsi="仿宋" w:eastAsia="仿宋"/>
          <w:color w:val="auto"/>
          <w:szCs w:val="32"/>
          <w:highlight w:val="none"/>
          <w:lang w:val="zh-TW" w:eastAsia="zh-CN"/>
        </w:rPr>
      </w:pPr>
      <w:r>
        <w:rPr>
          <w:rFonts w:hint="eastAsia" w:ascii="楷体" w:hAnsi="楷体" w:eastAsia="楷体"/>
          <w:bCs/>
          <w:color w:val="auto"/>
          <w:szCs w:val="32"/>
          <w:highlight w:val="none"/>
          <w:lang w:val="en-US" w:eastAsia="zh-CN"/>
        </w:rPr>
        <w:t>6</w:t>
      </w:r>
      <w:r>
        <w:rPr>
          <w:rFonts w:hint="eastAsia" w:ascii="楷体" w:hAnsi="楷体" w:eastAsia="楷体"/>
          <w:bCs/>
          <w:color w:val="auto"/>
          <w:szCs w:val="32"/>
          <w:highlight w:val="none"/>
        </w:rPr>
        <w:t>.</w:t>
      </w:r>
      <w:r>
        <w:rPr>
          <w:rFonts w:hint="eastAsia" w:ascii="楷体" w:hAnsi="楷体" w:eastAsia="楷体"/>
          <w:bCs/>
          <w:color w:val="auto"/>
          <w:szCs w:val="32"/>
          <w:highlight w:val="none"/>
          <w:lang w:val="zh-TW" w:eastAsia="zh-TW"/>
        </w:rPr>
        <w:t>推进采煤影响区综合治理利用。</w:t>
      </w:r>
      <w:r>
        <w:rPr>
          <w:rFonts w:hint="eastAsia" w:ascii="仿宋" w:hAnsi="仿宋" w:eastAsia="仿宋"/>
          <w:color w:val="auto"/>
          <w:szCs w:val="32"/>
          <w:highlight w:val="none"/>
          <w:lang w:val="en-US" w:eastAsia="zh-CN"/>
        </w:rPr>
        <w:t>充分发挥东洲重点采沉区试点优势，落实地矿主体责任，积极推动解决突出民生问题，加快补齐转型发展短板。</w:t>
      </w:r>
      <w:r>
        <w:rPr>
          <w:rFonts w:hint="eastAsia" w:ascii="仿宋" w:hAnsi="仿宋" w:eastAsia="仿宋"/>
          <w:color w:val="auto"/>
          <w:szCs w:val="32"/>
          <w:highlight w:val="none"/>
          <w:lang w:val="zh-TW" w:eastAsia="zh-TW"/>
        </w:rPr>
        <w:t>完善采煤影响区监测监管系统，加强对矿山企业安全生产和工程建设监管，切实维护矿山生产安全。开展采煤影响区调查与综合评价，建立完善基础数据库，评估采煤造成的地质灾害、环境污染程度，确定影响区内灾害治理和开发利用方向。推进重点采煤沉陷区土地综合治理、生态修复和道路管网等基础设施恢复建设，不断改善采沉区环境面貌。因地制宜推进生态观光农业、商贸物流、文化体育开发利用等接续替代产业发展，形成经济转型</w:t>
      </w:r>
      <w:r>
        <w:rPr>
          <w:rFonts w:hint="eastAsia" w:ascii="仿宋" w:hAnsi="仿宋" w:eastAsia="仿宋"/>
          <w:color w:val="auto"/>
          <w:szCs w:val="32"/>
          <w:highlight w:val="none"/>
          <w:lang w:val="zh-TW"/>
        </w:rPr>
        <w:t>绿色</w:t>
      </w:r>
      <w:r>
        <w:rPr>
          <w:rFonts w:hint="eastAsia" w:ascii="仿宋" w:hAnsi="仿宋" w:eastAsia="仿宋"/>
          <w:color w:val="auto"/>
          <w:szCs w:val="32"/>
          <w:highlight w:val="none"/>
          <w:lang w:val="zh-TW" w:eastAsia="zh-TW"/>
        </w:rPr>
        <w:t>升级新高地。带动西露天周边排土场治理开发、玄武岩资源开发利用、采煤沉陷区和露天煤矿复垦区光伏发电等项目建设</w:t>
      </w:r>
      <w:r>
        <w:rPr>
          <w:rFonts w:hint="eastAsia" w:ascii="仿宋" w:hAnsi="仿宋" w:eastAsia="仿宋"/>
          <w:color w:val="auto"/>
          <w:szCs w:val="32"/>
          <w:highlight w:val="none"/>
          <w:lang w:val="zh-TW" w:eastAsia="zh-CN"/>
        </w:rPr>
        <w:t>。</w:t>
      </w:r>
    </w:p>
    <w:p>
      <w:pPr>
        <w:pStyle w:val="23"/>
        <w:spacing w:line="600" w:lineRule="exact"/>
        <w:ind w:firstLine="640"/>
        <w:rPr>
          <w:rFonts w:hint="eastAsia" w:ascii="仿宋" w:hAnsi="仿宋" w:eastAsia="仿宋"/>
          <w:color w:val="auto"/>
          <w:szCs w:val="32"/>
          <w:highlight w:val="none"/>
          <w:lang w:val="en-US" w:eastAsia="zh-CN"/>
        </w:rPr>
      </w:pPr>
      <w:r>
        <w:rPr>
          <w:rFonts w:hint="eastAsia" w:ascii="楷体" w:hAnsi="楷体" w:eastAsia="楷体"/>
          <w:bCs/>
          <w:color w:val="auto"/>
          <w:szCs w:val="32"/>
          <w:highlight w:val="none"/>
          <w:lang w:val="en-US" w:eastAsia="zh-CN"/>
        </w:rPr>
        <w:t>7.实施城市生态修复工程</w:t>
      </w:r>
      <w:r>
        <w:rPr>
          <w:rFonts w:hint="eastAsia" w:ascii="楷体" w:hAnsi="楷体" w:eastAsia="楷体"/>
          <w:bCs/>
          <w:color w:val="auto"/>
          <w:szCs w:val="32"/>
          <w:highlight w:val="none"/>
          <w:lang w:val="zh-TW" w:eastAsia="zh-CN"/>
        </w:rPr>
        <w:t>。</w:t>
      </w:r>
      <w:r>
        <w:rPr>
          <w:rFonts w:hint="eastAsia" w:ascii="仿宋" w:hAnsi="仿宋" w:eastAsia="仿宋"/>
          <w:color w:val="auto"/>
          <w:szCs w:val="32"/>
          <w:highlight w:val="none"/>
          <w:lang w:val="en-US" w:eastAsia="zh-CN"/>
        </w:rPr>
        <w:t>推进生态修复和功能完善工程。打造浑河滨水生态经济带，以“中心区”、“滨水区”及“联动发展区”三区协同发展的“旅游+”发展战略，重点开发水面旅游经济；完善浑河城市防洪体系、构建多循环畅通格局、联通沈抚滨水慢行系统、打造绿色滨水生态长廊；重点规划布局浑河两侧现代服务业产业聚集区，实现“浑河滨水生态经济带”在抚顺经济共振中联动发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tcBorders>
              <w:top w:val="single" w:color="auto" w:sz="4" w:space="0"/>
              <w:left w:val="single" w:color="auto" w:sz="4" w:space="0"/>
              <w:bottom w:val="single" w:color="auto" w:sz="4" w:space="0"/>
              <w:right w:val="single" w:color="auto" w:sz="4" w:space="0"/>
            </w:tcBorders>
          </w:tcPr>
          <w:p>
            <w:pPr>
              <w:spacing w:line="400" w:lineRule="exact"/>
              <w:jc w:val="center"/>
              <w:rPr>
                <w:color w:val="auto"/>
                <w:sz w:val="24"/>
                <w:highlight w:val="none"/>
              </w:rPr>
            </w:pPr>
            <w:r>
              <w:rPr>
                <w:rFonts w:hint="eastAsia" w:ascii="楷体" w:hAnsi="楷体" w:eastAsia="楷体" w:cs="仿宋"/>
                <w:b/>
                <w:bCs/>
                <w:color w:val="auto"/>
                <w:sz w:val="28"/>
                <w:szCs w:val="28"/>
                <w:highlight w:val="none"/>
              </w:rPr>
              <w:t>专栏</w:t>
            </w:r>
            <w:r>
              <w:rPr>
                <w:rFonts w:hint="eastAsia" w:ascii="楷体" w:hAnsi="楷体" w:eastAsia="楷体" w:cs="仿宋"/>
                <w:b/>
                <w:bCs/>
                <w:color w:val="auto"/>
                <w:sz w:val="28"/>
                <w:szCs w:val="28"/>
                <w:highlight w:val="none"/>
                <w:lang w:val="en-US" w:eastAsia="zh-CN"/>
              </w:rPr>
              <w:t>8</w:t>
            </w:r>
            <w:r>
              <w:rPr>
                <w:rFonts w:hint="eastAsia" w:ascii="楷体" w:hAnsi="楷体" w:eastAsia="楷体" w:cs="仿宋"/>
                <w:b/>
                <w:bCs/>
                <w:color w:val="auto"/>
                <w:sz w:val="28"/>
                <w:szCs w:val="28"/>
                <w:highlight w:val="none"/>
              </w:rPr>
              <w:t>：生态系统保护和修复重点项目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tcBorders>
              <w:top w:val="single" w:color="auto" w:sz="4" w:space="0"/>
              <w:left w:val="single" w:color="auto" w:sz="4" w:space="0"/>
              <w:bottom w:val="single" w:color="auto" w:sz="4" w:space="0"/>
              <w:right w:val="single" w:color="auto" w:sz="4" w:space="0"/>
            </w:tcBorders>
          </w:tcPr>
          <w:p>
            <w:pPr>
              <w:numPr>
                <w:ilvl w:val="0"/>
                <w:numId w:val="8"/>
              </w:numPr>
              <w:spacing w:line="400" w:lineRule="exact"/>
              <w:ind w:left="454" w:leftChars="0" w:hanging="454"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新宾县林业有害生物综合防治项目(山水林田湖草项目）</w:t>
            </w:r>
          </w:p>
          <w:p>
            <w:pPr>
              <w:numPr>
                <w:ilvl w:val="0"/>
                <w:numId w:val="8"/>
              </w:numPr>
              <w:spacing w:line="400" w:lineRule="exact"/>
              <w:ind w:left="454" w:leftChars="0" w:hanging="454"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辽宁抚顺苏子河（新宾段）及其湿地生态环境修复项目(山水林田湖草项目）</w:t>
            </w:r>
          </w:p>
          <w:p>
            <w:pPr>
              <w:numPr>
                <w:ilvl w:val="0"/>
                <w:numId w:val="8"/>
              </w:numPr>
              <w:spacing w:line="400" w:lineRule="exact"/>
              <w:ind w:left="454" w:leftChars="0" w:hanging="454" w:firstLineChars="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highlight w:val="none"/>
              </w:rPr>
              <w:t>社河湿地保护项目</w:t>
            </w:r>
          </w:p>
        </w:tc>
      </w:tr>
    </w:tbl>
    <w:p>
      <w:pPr>
        <w:pStyle w:val="23"/>
        <w:spacing w:line="600" w:lineRule="exact"/>
        <w:ind w:firstLine="643"/>
        <w:outlineLvl w:val="1"/>
        <w:rPr>
          <w:rFonts w:asciiTheme="minorEastAsia" w:hAnsiTheme="minorEastAsia" w:eastAsiaTheme="minorEastAsia"/>
          <w:b/>
          <w:color w:val="auto"/>
          <w:szCs w:val="32"/>
          <w:highlight w:val="none"/>
          <w:lang w:val="zh-TW"/>
        </w:rPr>
      </w:pPr>
      <w:bookmarkStart w:id="49" w:name="_Toc21105"/>
      <w:r>
        <w:rPr>
          <w:rFonts w:hint="eastAsia" w:asciiTheme="minorEastAsia" w:hAnsiTheme="minorEastAsia" w:eastAsiaTheme="minorEastAsia"/>
          <w:b/>
          <w:color w:val="auto"/>
          <w:highlight w:val="none"/>
        </w:rPr>
        <w:t>（四）加强生物多样性保护</w:t>
      </w:r>
      <w:bookmarkEnd w:id="49"/>
    </w:p>
    <w:p>
      <w:pPr>
        <w:pStyle w:val="23"/>
        <w:spacing w:line="600" w:lineRule="exact"/>
        <w:ind w:firstLine="640"/>
        <w:jc w:val="both"/>
        <w:rPr>
          <w:rFonts w:ascii="仿宋" w:hAnsi="仿宋" w:eastAsia="仿宋"/>
          <w:color w:val="auto"/>
          <w:szCs w:val="32"/>
          <w:highlight w:val="none"/>
        </w:rPr>
      </w:pPr>
      <w:r>
        <w:rPr>
          <w:rFonts w:hint="eastAsia" w:ascii="楷体" w:hAnsi="楷体" w:eastAsia="楷体"/>
          <w:bCs/>
          <w:color w:val="auto"/>
          <w:szCs w:val="32"/>
          <w:highlight w:val="none"/>
        </w:rPr>
        <w:t>1.完善生物多样性保护相关政策、法规和制度。</w:t>
      </w:r>
      <w:r>
        <w:rPr>
          <w:rFonts w:hint="eastAsia" w:ascii="仿宋" w:hAnsi="仿宋" w:eastAsia="仿宋"/>
          <w:color w:val="auto"/>
          <w:szCs w:val="32"/>
          <w:highlight w:val="none"/>
        </w:rPr>
        <w:t>研究促进大伙房水源涵养基地保护区周边社区环境友好产业发展政策，探索促进生物资源保护与可持续利用的激励政策。完善生物多样性保护和生物资源管理协作机制，研究制订加强生物遗传资源获取与惠益共享、传统知识保护、生物安全和外来入侵物种等管理的法规、制度。</w:t>
      </w:r>
    </w:p>
    <w:p>
      <w:pPr>
        <w:pStyle w:val="23"/>
        <w:spacing w:line="600" w:lineRule="exact"/>
        <w:ind w:firstLine="640"/>
        <w:rPr>
          <w:rFonts w:ascii="仿宋" w:hAnsi="仿宋" w:eastAsia="仿宋"/>
          <w:color w:val="auto"/>
          <w:szCs w:val="32"/>
          <w:highlight w:val="none"/>
          <w:lang w:val="zh-TW" w:eastAsia="zh-TW"/>
        </w:rPr>
      </w:pPr>
      <w:r>
        <w:rPr>
          <w:rFonts w:hint="eastAsia" w:ascii="楷体" w:hAnsi="楷体" w:eastAsia="楷体"/>
          <w:bCs/>
          <w:color w:val="auto"/>
          <w:szCs w:val="32"/>
          <w:highlight w:val="none"/>
        </w:rPr>
        <w:t>2.</w:t>
      </w:r>
      <w:r>
        <w:rPr>
          <w:rFonts w:hint="eastAsia" w:ascii="楷体" w:hAnsi="楷体" w:eastAsia="楷体"/>
          <w:bCs/>
          <w:color w:val="auto"/>
          <w:szCs w:val="32"/>
          <w:highlight w:val="none"/>
          <w:lang w:val="zh-TW" w:eastAsia="zh-TW"/>
        </w:rPr>
        <w:t>开展生物多样性调查、评估</w:t>
      </w:r>
      <w:r>
        <w:rPr>
          <w:rFonts w:hint="eastAsia" w:ascii="楷体" w:hAnsi="楷体" w:eastAsia="楷体"/>
          <w:bCs/>
          <w:color w:val="auto"/>
          <w:szCs w:val="32"/>
          <w:highlight w:val="none"/>
          <w:lang w:val="zh-TW"/>
        </w:rPr>
        <w:t>、</w:t>
      </w:r>
      <w:r>
        <w:rPr>
          <w:rFonts w:hint="eastAsia" w:ascii="楷体" w:hAnsi="楷体" w:eastAsia="楷体"/>
          <w:bCs/>
          <w:color w:val="auto"/>
          <w:szCs w:val="32"/>
          <w:highlight w:val="none"/>
          <w:lang w:val="zh-TW" w:eastAsia="zh-TW"/>
        </w:rPr>
        <w:t>监测</w:t>
      </w:r>
      <w:r>
        <w:rPr>
          <w:rFonts w:hint="eastAsia" w:ascii="楷体" w:hAnsi="楷体" w:eastAsia="楷体"/>
          <w:bCs/>
          <w:color w:val="auto"/>
          <w:szCs w:val="32"/>
          <w:highlight w:val="none"/>
        </w:rPr>
        <w:t>与预警。</w:t>
      </w:r>
      <w:r>
        <w:rPr>
          <w:rFonts w:hint="eastAsia" w:ascii="仿宋" w:hAnsi="仿宋" w:eastAsia="仿宋"/>
          <w:color w:val="auto"/>
          <w:szCs w:val="32"/>
          <w:highlight w:val="none"/>
          <w:lang w:val="zh-TW" w:eastAsia="zh-TW"/>
        </w:rPr>
        <w:t>开展生物多样性保护优先区域的生物多样性本底综合调查</w:t>
      </w:r>
      <w:r>
        <w:rPr>
          <w:rFonts w:hint="eastAsia" w:ascii="仿宋" w:hAnsi="仿宋" w:eastAsia="仿宋"/>
          <w:color w:val="auto"/>
          <w:szCs w:val="32"/>
          <w:highlight w:val="none"/>
          <w:lang w:val="zh-TW"/>
        </w:rPr>
        <w:t>，</w:t>
      </w:r>
      <w:r>
        <w:rPr>
          <w:rFonts w:hint="eastAsia" w:ascii="仿宋" w:hAnsi="仿宋" w:eastAsia="仿宋"/>
          <w:color w:val="auto"/>
          <w:szCs w:val="32"/>
          <w:highlight w:val="none"/>
          <w:lang w:val="zh-TW" w:eastAsia="zh-TW"/>
        </w:rPr>
        <w:t>针对重点地区和重点物种类型开展重点物种资源调查</w:t>
      </w:r>
      <w:r>
        <w:rPr>
          <w:rFonts w:hint="eastAsia" w:ascii="仿宋" w:hAnsi="仿宋" w:eastAsia="仿宋"/>
          <w:color w:val="auto"/>
          <w:szCs w:val="32"/>
          <w:highlight w:val="none"/>
          <w:lang w:val="zh-TW"/>
        </w:rPr>
        <w:t>。</w:t>
      </w:r>
      <w:r>
        <w:rPr>
          <w:rFonts w:hint="eastAsia" w:ascii="仿宋" w:hAnsi="仿宋" w:eastAsia="仿宋"/>
          <w:color w:val="auto"/>
          <w:szCs w:val="32"/>
          <w:highlight w:val="none"/>
          <w:lang w:val="zh-TW" w:eastAsia="zh-TW"/>
        </w:rPr>
        <w:t>开展河流湿地水生生物资源本底及多样性调査</w:t>
      </w:r>
      <w:r>
        <w:rPr>
          <w:rFonts w:hint="eastAsia" w:ascii="仿宋" w:hAnsi="仿宋" w:eastAsia="仿宋"/>
          <w:color w:val="auto"/>
          <w:szCs w:val="32"/>
          <w:highlight w:val="none"/>
          <w:lang w:val="zh-TW"/>
        </w:rPr>
        <w:t>，</w:t>
      </w:r>
      <w:r>
        <w:rPr>
          <w:rFonts w:hint="eastAsia" w:ascii="仿宋" w:hAnsi="仿宋" w:eastAsia="仿宋"/>
          <w:color w:val="auto"/>
          <w:szCs w:val="32"/>
          <w:highlight w:val="none"/>
          <w:lang w:val="zh-TW" w:eastAsia="zh-TW"/>
        </w:rPr>
        <w:t>建设生物多样性信息管理系统。</w:t>
      </w:r>
      <w:r>
        <w:rPr>
          <w:rFonts w:hint="eastAsia" w:ascii="仿宋" w:hAnsi="仿宋" w:eastAsia="仿宋"/>
          <w:color w:val="auto"/>
          <w:szCs w:val="32"/>
          <w:highlight w:val="none"/>
          <w:lang w:val="en-US" w:eastAsia="zh-CN"/>
        </w:rPr>
        <w:t>持续开展生物多样性监测，强化野生动植物物种资源保护与利用监管和生物物种、转基因物种环境风险评估。</w:t>
      </w:r>
      <w:r>
        <w:rPr>
          <w:rFonts w:hint="eastAsia" w:ascii="仿宋" w:hAnsi="仿宋" w:eastAsia="仿宋"/>
          <w:color w:val="auto"/>
          <w:szCs w:val="32"/>
          <w:highlight w:val="none"/>
          <w:lang w:val="zh-TW" w:eastAsia="zh-TW"/>
        </w:rPr>
        <w:t>加大生态系统和不同生物类群监测的现代化设备、设施的研制和建设力度</w:t>
      </w:r>
      <w:r>
        <w:rPr>
          <w:rFonts w:hint="eastAsia" w:ascii="仿宋" w:hAnsi="仿宋" w:eastAsia="仿宋"/>
          <w:color w:val="auto"/>
          <w:szCs w:val="32"/>
          <w:highlight w:val="none"/>
          <w:lang w:val="zh-TW"/>
        </w:rPr>
        <w:t>。</w:t>
      </w:r>
      <w:r>
        <w:rPr>
          <w:rFonts w:hint="eastAsia" w:ascii="仿宋" w:hAnsi="仿宋" w:eastAsia="仿宋"/>
          <w:color w:val="auto"/>
          <w:szCs w:val="32"/>
          <w:highlight w:val="none"/>
          <w:lang w:val="zh-TW" w:eastAsia="zh-TW"/>
        </w:rPr>
        <w:t>依托现有的生物多样性监测力量，构建生物多样性监测网络体系，开展系统性监测，实现数据共享</w:t>
      </w:r>
      <w:r>
        <w:rPr>
          <w:rFonts w:hint="eastAsia" w:ascii="仿宋" w:hAnsi="仿宋" w:eastAsia="仿宋"/>
          <w:color w:val="auto"/>
          <w:szCs w:val="32"/>
          <w:highlight w:val="none"/>
          <w:lang w:val="zh-TW"/>
        </w:rPr>
        <w:t>。</w:t>
      </w:r>
      <w:r>
        <w:rPr>
          <w:rFonts w:hint="eastAsia" w:ascii="仿宋" w:hAnsi="仿宋" w:eastAsia="仿宋"/>
          <w:color w:val="auto"/>
          <w:szCs w:val="32"/>
          <w:highlight w:val="none"/>
          <w:lang w:val="zh-TW" w:eastAsia="zh-TW"/>
        </w:rPr>
        <w:t>开发生物多样性预测预警模型，建立预警技术体系和应急响应机制，实现长期、动态监控</w:t>
      </w:r>
      <w:r>
        <w:rPr>
          <w:rFonts w:hint="eastAsia" w:ascii="仿宋" w:hAnsi="仿宋" w:eastAsia="仿宋"/>
          <w:color w:val="auto"/>
          <w:szCs w:val="32"/>
          <w:highlight w:val="none"/>
          <w:lang w:val="zh-TW"/>
        </w:rPr>
        <w:t>。</w:t>
      </w:r>
    </w:p>
    <w:p>
      <w:pPr>
        <w:pStyle w:val="23"/>
        <w:spacing w:line="600" w:lineRule="exact"/>
        <w:ind w:firstLine="640"/>
        <w:jc w:val="both"/>
        <w:rPr>
          <w:rFonts w:ascii="仿宋" w:hAnsi="仿宋" w:eastAsia="仿宋"/>
          <w:color w:val="auto"/>
          <w:szCs w:val="32"/>
          <w:highlight w:val="none"/>
          <w:lang w:val="zh-TW" w:eastAsia="zh-TW"/>
        </w:rPr>
      </w:pPr>
      <w:r>
        <w:rPr>
          <w:rFonts w:hint="eastAsia" w:ascii="楷体" w:hAnsi="楷体" w:eastAsia="楷体"/>
          <w:bCs/>
          <w:color w:val="auto"/>
          <w:szCs w:val="32"/>
          <w:highlight w:val="none"/>
        </w:rPr>
        <w:t>3.</w:t>
      </w:r>
      <w:r>
        <w:rPr>
          <w:rFonts w:hint="eastAsia" w:ascii="楷体" w:hAnsi="楷体" w:eastAsia="楷体"/>
          <w:bCs/>
          <w:color w:val="auto"/>
          <w:szCs w:val="32"/>
          <w:highlight w:val="none"/>
          <w:lang w:val="zh-TW" w:eastAsia="zh-TW"/>
        </w:rPr>
        <w:t>加强外来入侵物种管控。</w:t>
      </w:r>
      <w:r>
        <w:rPr>
          <w:rFonts w:hint="eastAsia" w:ascii="仿宋" w:hAnsi="仿宋" w:eastAsia="仿宋"/>
          <w:color w:val="auto"/>
          <w:szCs w:val="32"/>
          <w:highlight w:val="none"/>
          <w:lang w:val="zh-TW" w:eastAsia="zh-TW"/>
        </w:rPr>
        <w:t>完善外来入侵物种快速分子检测等技术与方法，建立外来入侵物种监测与预警体系，实施长期监测。跟踪新出现的潜在有害外来生物，制订应急预案，开发外来入侵物种可持续控制技术和清除技术，组织开展危害严重的外来入侵物种的清除。加强有害病原微生物及动物疫源疫病监测预警体系建设，强化源头控制。加强污染治理领域使用的微生物菌剂进出口管理，对养殖业使用的微生物实施规范化管理和长期跟踪监测。</w:t>
      </w:r>
    </w:p>
    <w:p>
      <w:pPr>
        <w:pStyle w:val="23"/>
        <w:spacing w:line="600" w:lineRule="exact"/>
        <w:ind w:firstLine="640"/>
        <w:rPr>
          <w:rFonts w:ascii="仿宋" w:hAnsi="仿宋" w:eastAsia="仿宋"/>
          <w:color w:val="auto"/>
          <w:szCs w:val="32"/>
          <w:highlight w:val="none"/>
          <w:lang w:val="zh-TW"/>
        </w:rPr>
      </w:pPr>
      <w:r>
        <w:rPr>
          <w:rFonts w:hint="eastAsia" w:ascii="楷体" w:hAnsi="楷体" w:eastAsia="楷体"/>
          <w:bCs/>
          <w:color w:val="auto"/>
          <w:szCs w:val="32"/>
          <w:highlight w:val="none"/>
        </w:rPr>
        <w:t>4.</w:t>
      </w:r>
      <w:r>
        <w:rPr>
          <w:rFonts w:hint="eastAsia" w:ascii="楷体" w:hAnsi="楷体" w:eastAsia="楷体"/>
          <w:bCs/>
          <w:color w:val="auto"/>
          <w:szCs w:val="32"/>
          <w:highlight w:val="none"/>
          <w:lang w:val="zh-TW" w:eastAsia="zh-TW"/>
        </w:rPr>
        <w:t>提高公众参与意识</w:t>
      </w:r>
      <w:r>
        <w:rPr>
          <w:rFonts w:hint="eastAsia" w:ascii="楷体" w:hAnsi="楷体" w:eastAsia="楷体"/>
          <w:bCs/>
          <w:color w:val="auto"/>
          <w:szCs w:val="32"/>
          <w:highlight w:val="none"/>
          <w:lang w:val="zh-TW"/>
        </w:rPr>
        <w:t>。</w:t>
      </w:r>
      <w:r>
        <w:rPr>
          <w:rFonts w:hint="eastAsia" w:ascii="仿宋" w:hAnsi="仿宋" w:eastAsia="仿宋"/>
          <w:color w:val="auto"/>
          <w:szCs w:val="32"/>
          <w:highlight w:val="none"/>
          <w:lang w:val="zh-TW"/>
        </w:rPr>
        <w:t>开展多种形式的生物多样性保护宣传教育活动，引导公众积极参与生物多样性保护，加强学校的生物多样性科普教育。建立和完善生物多样性保护公众监督、举报制度，完善公众参与机制。建立生物多样性保护伙伴关系，广泛调动国内外利益相关方参与生物多样性保护的积极性，充分发挥民间公益性组织和慈善机构的作用，共同推进生物多样性保护和可持续利用。</w:t>
      </w:r>
    </w:p>
    <w:p>
      <w:pPr>
        <w:pStyle w:val="23"/>
        <w:spacing w:line="600" w:lineRule="exact"/>
        <w:ind w:firstLine="643"/>
        <w:outlineLvl w:val="1"/>
        <w:rPr>
          <w:rFonts w:asciiTheme="minorEastAsia" w:hAnsiTheme="minorEastAsia" w:eastAsiaTheme="minorEastAsia"/>
          <w:b/>
          <w:color w:val="auto"/>
          <w:szCs w:val="32"/>
          <w:highlight w:val="none"/>
          <w:lang w:val="zh-TW" w:eastAsia="zh-TW"/>
        </w:rPr>
      </w:pPr>
      <w:bookmarkStart w:id="50" w:name="_Toc3583"/>
      <w:r>
        <w:rPr>
          <w:rFonts w:hint="eastAsia" w:asciiTheme="minorEastAsia" w:hAnsiTheme="minorEastAsia" w:eastAsiaTheme="minorEastAsia"/>
          <w:b/>
          <w:color w:val="auto"/>
          <w:highlight w:val="none"/>
        </w:rPr>
        <w:t>（五）加强生态保护监管工作</w:t>
      </w:r>
      <w:bookmarkEnd w:id="50"/>
    </w:p>
    <w:p>
      <w:pPr>
        <w:pStyle w:val="23"/>
        <w:spacing w:line="600" w:lineRule="exact"/>
        <w:ind w:firstLine="640"/>
        <w:rPr>
          <w:rFonts w:ascii="仿宋" w:hAnsi="仿宋" w:eastAsia="仿宋"/>
          <w:color w:val="auto"/>
          <w:szCs w:val="32"/>
          <w:highlight w:val="none"/>
          <w:lang w:val="zh-TW" w:eastAsia="zh-TW"/>
        </w:rPr>
      </w:pPr>
      <w:r>
        <w:rPr>
          <w:rFonts w:hint="eastAsia" w:ascii="楷体" w:hAnsi="楷体" w:eastAsia="楷体"/>
          <w:bCs/>
          <w:color w:val="auto"/>
          <w:szCs w:val="32"/>
          <w:highlight w:val="none"/>
        </w:rPr>
        <w:t>1.</w:t>
      </w:r>
      <w:r>
        <w:rPr>
          <w:rFonts w:hint="eastAsia" w:ascii="楷体" w:hAnsi="楷体" w:eastAsia="楷体"/>
          <w:bCs/>
          <w:color w:val="auto"/>
          <w:szCs w:val="32"/>
          <w:highlight w:val="none"/>
          <w:lang w:val="en-US" w:eastAsia="zh-CN"/>
        </w:rPr>
        <w:t>探索</w:t>
      </w:r>
      <w:r>
        <w:rPr>
          <w:rFonts w:hint="eastAsia" w:ascii="楷体" w:hAnsi="楷体" w:eastAsia="楷体"/>
          <w:bCs/>
          <w:color w:val="auto"/>
          <w:szCs w:val="32"/>
          <w:highlight w:val="none"/>
          <w:lang w:val="zh-TW"/>
        </w:rPr>
        <w:t>构建生态监测网络。</w:t>
      </w:r>
      <w:r>
        <w:rPr>
          <w:rFonts w:hint="eastAsia" w:ascii="仿宋" w:hAnsi="仿宋" w:eastAsia="仿宋"/>
          <w:color w:val="auto"/>
          <w:szCs w:val="32"/>
          <w:highlight w:val="none"/>
          <w:lang w:val="en-US" w:eastAsia="zh-CN"/>
        </w:rPr>
        <w:t>探索</w:t>
      </w:r>
      <w:r>
        <w:rPr>
          <w:rFonts w:hint="eastAsia" w:ascii="仿宋" w:hAnsi="仿宋" w:eastAsia="仿宋"/>
          <w:color w:val="auto"/>
          <w:szCs w:val="32"/>
          <w:highlight w:val="none"/>
          <w:lang w:val="zh-TW"/>
        </w:rPr>
        <w:t>构建天地一体、上下协同的生态监测网络。通过推动部门监测站点资源共享、推进环境监测站点向生态环境监测综合站点改造升级、补充设置新的生态监测站点和生态监测样地（带）等方式满足生态保护监管工作需要。</w:t>
      </w:r>
    </w:p>
    <w:p>
      <w:pPr>
        <w:pStyle w:val="23"/>
        <w:spacing w:line="600" w:lineRule="exact"/>
        <w:ind w:firstLine="640"/>
        <w:rPr>
          <w:rFonts w:ascii="仿宋" w:hAnsi="仿宋" w:eastAsia="仿宋"/>
          <w:color w:val="auto"/>
          <w:szCs w:val="32"/>
          <w:highlight w:val="none"/>
          <w:lang w:val="zh-TW"/>
        </w:rPr>
      </w:pPr>
      <w:r>
        <w:rPr>
          <w:rFonts w:hint="eastAsia" w:ascii="宋体" w:hAnsi="宋体" w:eastAsia="宋体"/>
          <w:bCs/>
          <w:color w:val="auto"/>
          <w:szCs w:val="32"/>
          <w:highlight w:val="none"/>
        </w:rPr>
        <w:t>2.</w:t>
      </w:r>
      <w:r>
        <w:rPr>
          <w:rFonts w:hint="eastAsia" w:ascii="楷体" w:hAnsi="楷体" w:eastAsia="楷体"/>
          <w:bCs/>
          <w:color w:val="auto"/>
          <w:szCs w:val="32"/>
          <w:highlight w:val="none"/>
          <w:lang w:val="zh-TW"/>
        </w:rPr>
        <w:t>加快完善生态保护修复评估体系。</w:t>
      </w:r>
      <w:r>
        <w:rPr>
          <w:rFonts w:hint="eastAsia" w:ascii="仿宋" w:hAnsi="仿宋" w:eastAsia="仿宋"/>
          <w:color w:val="auto"/>
          <w:szCs w:val="32"/>
          <w:highlight w:val="none"/>
          <w:lang w:val="zh-TW"/>
        </w:rPr>
        <w:t>开展重点区域流域、生态保护红线、自然保护地、县域重点生态功能区评估，建立从宏观到微观尺度的多层次评估体系。开展生态系统保护成效评估，制定覆盖各个重要监管环节的生态修复标准和生态修复评估指南，确定生态保护修复评估重点。</w:t>
      </w:r>
    </w:p>
    <w:p>
      <w:pPr>
        <w:pStyle w:val="23"/>
        <w:spacing w:line="600" w:lineRule="exact"/>
        <w:ind w:firstLine="640"/>
        <w:rPr>
          <w:rFonts w:ascii="仿宋" w:hAnsi="仿宋" w:eastAsia="仿宋"/>
          <w:color w:val="auto"/>
          <w:szCs w:val="32"/>
          <w:highlight w:val="none"/>
          <w:lang w:val="zh-TW" w:eastAsia="zh-TW"/>
        </w:rPr>
      </w:pPr>
      <w:r>
        <w:rPr>
          <w:rFonts w:hint="eastAsia" w:ascii="宋体" w:hAnsi="宋体" w:eastAsia="宋体"/>
          <w:bCs/>
          <w:color w:val="auto"/>
          <w:szCs w:val="32"/>
          <w:highlight w:val="none"/>
        </w:rPr>
        <w:t>3.</w:t>
      </w:r>
      <w:r>
        <w:rPr>
          <w:rFonts w:hint="eastAsia" w:ascii="楷体" w:hAnsi="楷体" w:eastAsia="楷体"/>
          <w:bCs/>
          <w:color w:val="auto"/>
          <w:szCs w:val="32"/>
          <w:highlight w:val="none"/>
          <w:lang w:val="zh-TW"/>
        </w:rPr>
        <w:t>积极推进生态保护红线监管。</w:t>
      </w:r>
      <w:r>
        <w:rPr>
          <w:rFonts w:hint="eastAsia" w:ascii="仿宋" w:hAnsi="仿宋" w:eastAsia="仿宋"/>
          <w:color w:val="auto"/>
          <w:szCs w:val="32"/>
          <w:highlight w:val="none"/>
          <w:lang w:val="zh-TW"/>
        </w:rPr>
        <w:t>建立健全生态保护红线调查、监测、评估和考核等监管制度，出台生态保护红线监管办法，完善监管指标体系和标准规范。开展生态保护红线生态环境和人类活动本底调查，核定生态保护红线生态功能基线水平。加强生态保护红线面积、功能、性质和管理实施情况的监控，开展生态保护红线监测预警。</w:t>
      </w:r>
    </w:p>
    <w:p>
      <w:pPr>
        <w:pStyle w:val="23"/>
        <w:spacing w:line="600" w:lineRule="exact"/>
        <w:ind w:firstLine="640"/>
        <w:rPr>
          <w:rFonts w:ascii="仿宋" w:hAnsi="仿宋" w:eastAsia="仿宋"/>
          <w:color w:val="auto"/>
          <w:szCs w:val="32"/>
          <w:highlight w:val="none"/>
          <w:lang w:val="zh-TW" w:eastAsia="zh-TW"/>
        </w:rPr>
      </w:pPr>
      <w:r>
        <w:rPr>
          <w:rFonts w:hint="eastAsia" w:ascii="宋体" w:hAnsi="宋体" w:eastAsia="宋体"/>
          <w:bCs/>
          <w:color w:val="auto"/>
          <w:szCs w:val="32"/>
          <w:highlight w:val="none"/>
        </w:rPr>
        <w:t>4.</w:t>
      </w:r>
      <w:r>
        <w:rPr>
          <w:rFonts w:hint="eastAsia" w:ascii="楷体" w:hAnsi="楷体" w:eastAsia="楷体"/>
          <w:bCs/>
          <w:color w:val="auto"/>
          <w:szCs w:val="32"/>
          <w:highlight w:val="none"/>
          <w:lang w:val="zh-TW"/>
        </w:rPr>
        <w:t>持续加强自然保护地监管。</w:t>
      </w:r>
      <w:r>
        <w:rPr>
          <w:rFonts w:hint="eastAsia" w:ascii="仿宋" w:hAnsi="仿宋" w:eastAsia="仿宋"/>
          <w:color w:val="auto"/>
          <w:szCs w:val="32"/>
          <w:highlight w:val="none"/>
          <w:u w:val="none"/>
          <w:lang w:val="en-US" w:eastAsia="zh-CN"/>
        </w:rPr>
        <w:t>优化整合自然保护地，</w:t>
      </w:r>
      <w:r>
        <w:rPr>
          <w:rFonts w:hint="eastAsia" w:ascii="仿宋" w:hAnsi="仿宋" w:eastAsia="仿宋"/>
          <w:color w:val="auto"/>
          <w:szCs w:val="32"/>
          <w:highlight w:val="none"/>
          <w:lang w:val="zh-TW"/>
        </w:rPr>
        <w:t>实行最严格的自然保护地生态环境保护监管制度</w:t>
      </w:r>
      <w:r>
        <w:rPr>
          <w:rFonts w:hint="eastAsia" w:ascii="仿宋" w:hAnsi="仿宋" w:eastAsia="仿宋"/>
          <w:color w:val="auto"/>
          <w:szCs w:val="32"/>
          <w:highlight w:val="none"/>
          <w:lang w:val="zh-TW" w:eastAsia="zh-CN"/>
        </w:rPr>
        <w:t>，</w:t>
      </w:r>
      <w:r>
        <w:rPr>
          <w:rFonts w:hint="eastAsia" w:ascii="仿宋" w:hAnsi="仿宋" w:eastAsia="仿宋"/>
          <w:color w:val="auto"/>
          <w:szCs w:val="32"/>
          <w:highlight w:val="none"/>
          <w:u w:val="none"/>
          <w:lang w:val="en-US" w:eastAsia="zh-CN"/>
        </w:rPr>
        <w:t>严格遵守《中华人民共和国自然保护区条例》</w:t>
      </w:r>
      <w:r>
        <w:rPr>
          <w:rFonts w:hint="eastAsia" w:ascii="仿宋" w:hAnsi="仿宋" w:eastAsia="仿宋"/>
          <w:color w:val="auto"/>
          <w:szCs w:val="32"/>
          <w:highlight w:val="none"/>
          <w:lang w:val="zh-TW"/>
        </w:rPr>
        <w:t>。深入推进“绿盾”自然保护地强化监督，强化对自然保护地和重点区域自然保护地的监督检查。建立健全自然保护地生态环境问题台账，严格落实整改销号制度。开展常态化监控，坚决遏制新增违法违规问题。</w:t>
      </w:r>
    </w:p>
    <w:p>
      <w:pPr>
        <w:pStyle w:val="23"/>
        <w:spacing w:line="600" w:lineRule="exact"/>
        <w:ind w:firstLine="640"/>
        <w:rPr>
          <w:rFonts w:ascii="仿宋" w:hAnsi="仿宋" w:eastAsia="仿宋"/>
          <w:color w:val="auto"/>
          <w:szCs w:val="32"/>
          <w:highlight w:val="none"/>
          <w:lang w:val="zh-TW" w:eastAsia="zh-TW"/>
        </w:rPr>
      </w:pPr>
      <w:r>
        <w:rPr>
          <w:rFonts w:hint="eastAsia" w:ascii="宋体" w:hAnsi="宋体" w:eastAsia="宋体"/>
          <w:bCs/>
          <w:color w:val="auto"/>
          <w:szCs w:val="32"/>
          <w:highlight w:val="none"/>
        </w:rPr>
        <w:t>5.</w:t>
      </w:r>
      <w:r>
        <w:rPr>
          <w:rFonts w:hint="eastAsia" w:ascii="楷体" w:hAnsi="楷体" w:eastAsia="楷体"/>
          <w:bCs/>
          <w:color w:val="auto"/>
          <w:szCs w:val="32"/>
          <w:highlight w:val="none"/>
          <w:lang w:val="zh-TW"/>
        </w:rPr>
        <w:t>提升生物多样性保护水平。</w:t>
      </w:r>
      <w:r>
        <w:rPr>
          <w:rFonts w:hint="eastAsia" w:ascii="仿宋" w:hAnsi="仿宋" w:eastAsia="仿宋"/>
          <w:color w:val="auto"/>
          <w:szCs w:val="32"/>
          <w:highlight w:val="none"/>
          <w:lang w:val="zh-TW"/>
        </w:rPr>
        <w:t>推动生物多样性和生物安全监管立法，建立健全转基因生物自然生态风险评价、检测监测和安全控制技术体系，提升生物技术环境安全监管能力。</w:t>
      </w:r>
    </w:p>
    <w:p>
      <w:pPr>
        <w:pStyle w:val="23"/>
        <w:spacing w:line="600" w:lineRule="exact"/>
        <w:ind w:firstLine="640"/>
        <w:rPr>
          <w:rFonts w:ascii="仿宋" w:hAnsi="仿宋" w:eastAsia="仿宋"/>
          <w:color w:val="auto"/>
          <w:szCs w:val="32"/>
          <w:highlight w:val="none"/>
          <w:lang w:val="zh-TW"/>
        </w:rPr>
      </w:pPr>
      <w:r>
        <w:rPr>
          <w:rFonts w:hint="eastAsia" w:ascii="宋体" w:hAnsi="宋体" w:eastAsia="宋体"/>
          <w:bCs/>
          <w:color w:val="auto"/>
          <w:szCs w:val="32"/>
          <w:highlight w:val="none"/>
        </w:rPr>
        <w:t>6.</w:t>
      </w:r>
      <w:r>
        <w:rPr>
          <w:rFonts w:hint="eastAsia" w:ascii="楷体" w:hAnsi="楷体" w:eastAsia="楷体"/>
          <w:bCs/>
          <w:color w:val="auto"/>
          <w:szCs w:val="32"/>
          <w:highlight w:val="none"/>
          <w:lang w:val="zh-TW"/>
        </w:rPr>
        <w:t>加大生态监督和查处力度</w:t>
      </w:r>
      <w:r>
        <w:rPr>
          <w:rFonts w:hint="eastAsia" w:ascii="仿宋" w:hAnsi="仿宋" w:eastAsia="仿宋"/>
          <w:b/>
          <w:bCs/>
          <w:color w:val="auto"/>
          <w:szCs w:val="32"/>
          <w:highlight w:val="none"/>
          <w:lang w:val="zh-TW"/>
        </w:rPr>
        <w:t>。</w:t>
      </w:r>
      <w:r>
        <w:rPr>
          <w:rFonts w:hint="eastAsia" w:ascii="仿宋" w:hAnsi="仿宋" w:eastAsia="仿宋"/>
          <w:color w:val="auto"/>
          <w:szCs w:val="32"/>
          <w:highlight w:val="none"/>
          <w:lang w:val="en-US" w:eastAsia="zh-CN"/>
        </w:rPr>
        <w:t>落实生态空间用途管制，严守生态保护红线。</w:t>
      </w:r>
      <w:r>
        <w:rPr>
          <w:rFonts w:hint="eastAsia" w:ascii="仿宋" w:hAnsi="仿宋" w:eastAsia="仿宋"/>
          <w:color w:val="auto"/>
          <w:szCs w:val="32"/>
          <w:highlight w:val="none"/>
          <w:lang w:val="zh-TW"/>
        </w:rPr>
        <w:t>完善生态监督执法制度，扎实推进生态环境保护综合行政执法改革。强化对生态破坏行为和生态保护修复工程实施的监督，强化生态保护综合执法与</w:t>
      </w:r>
      <w:r>
        <w:rPr>
          <w:rFonts w:hint="eastAsia" w:ascii="仿宋" w:hAnsi="仿宋" w:eastAsia="仿宋"/>
          <w:color w:val="auto"/>
          <w:szCs w:val="32"/>
          <w:highlight w:val="none"/>
          <w:lang w:val="en-US" w:eastAsia="zh-CN"/>
        </w:rPr>
        <w:t>自然资源、水利、林业等</w:t>
      </w:r>
      <w:r>
        <w:rPr>
          <w:rFonts w:hint="eastAsia" w:ascii="仿宋" w:hAnsi="仿宋" w:eastAsia="仿宋"/>
          <w:color w:val="auto"/>
          <w:szCs w:val="32"/>
          <w:highlight w:val="none"/>
          <w:lang w:val="zh-TW"/>
        </w:rPr>
        <w:t>相关</w:t>
      </w:r>
      <w:r>
        <w:rPr>
          <w:rFonts w:hint="eastAsia" w:ascii="仿宋" w:hAnsi="仿宋" w:eastAsia="仿宋"/>
          <w:color w:val="auto"/>
          <w:szCs w:val="32"/>
          <w:highlight w:val="none"/>
          <w:lang w:val="en-US" w:eastAsia="zh-CN"/>
        </w:rPr>
        <w:t>部门</w:t>
      </w:r>
      <w:r>
        <w:rPr>
          <w:rFonts w:hint="eastAsia" w:ascii="仿宋" w:hAnsi="仿宋" w:eastAsia="仿宋"/>
          <w:color w:val="auto"/>
          <w:szCs w:val="32"/>
          <w:highlight w:val="none"/>
          <w:lang w:val="zh-TW"/>
        </w:rPr>
        <w:t>执法队伍的协同联动，建立信息共享机制，完善案件移送标准和程序。</w:t>
      </w:r>
    </w:p>
    <w:p>
      <w:pPr>
        <w:pStyle w:val="23"/>
        <w:spacing w:line="600" w:lineRule="exact"/>
        <w:ind w:firstLine="640"/>
        <w:rPr>
          <w:rFonts w:hint="eastAsia" w:ascii="仿宋" w:hAnsi="仿宋" w:eastAsia="仿宋"/>
          <w:color w:val="auto"/>
          <w:szCs w:val="32"/>
          <w:highlight w:val="none"/>
          <w:lang w:val="zh-TW"/>
        </w:rPr>
      </w:pPr>
      <w:r>
        <w:rPr>
          <w:rFonts w:hint="eastAsia" w:ascii="楷体" w:hAnsi="楷体" w:eastAsia="楷体"/>
          <w:bCs/>
          <w:color w:val="auto"/>
          <w:szCs w:val="32"/>
          <w:highlight w:val="none"/>
        </w:rPr>
        <w:t>7.构建减灾防灾应急处理系统。</w:t>
      </w:r>
      <w:r>
        <w:rPr>
          <w:rFonts w:hint="eastAsia" w:ascii="仿宋" w:hAnsi="仿宋" w:eastAsia="仿宋"/>
          <w:color w:val="auto"/>
          <w:szCs w:val="32"/>
          <w:highlight w:val="none"/>
          <w:lang w:val="zh-TW"/>
        </w:rPr>
        <w:t>提高农业种植适应能力，引导畜禽和水产养殖业合理发展，开展病虫害监测减灾措施。提高天然林、重点防护林、及其他生态系统气候适应能力，完善林业有害生物监测预警系统、和森林火灾、林火阻隔系统以及应急处置系统。</w:t>
      </w:r>
    </w:p>
    <w:p>
      <w:pPr>
        <w:pStyle w:val="23"/>
        <w:spacing w:line="600" w:lineRule="exact"/>
        <w:ind w:firstLine="643"/>
        <w:outlineLvl w:val="1"/>
        <w:rPr>
          <w:rFonts w:asciiTheme="minorEastAsia" w:hAnsiTheme="minorEastAsia" w:eastAsiaTheme="minorEastAsia"/>
          <w:b/>
          <w:color w:val="auto"/>
          <w:szCs w:val="32"/>
          <w:highlight w:val="none"/>
          <w:lang w:val="zh-TW"/>
        </w:rPr>
      </w:pPr>
      <w:bookmarkStart w:id="51" w:name="_Toc8771"/>
      <w:r>
        <w:rPr>
          <w:rFonts w:hint="eastAsia" w:asciiTheme="minorEastAsia" w:hAnsiTheme="minorEastAsia" w:eastAsiaTheme="minorEastAsia"/>
          <w:b/>
          <w:color w:val="auto"/>
          <w:highlight w:val="none"/>
        </w:rPr>
        <w:t>（六）探索建立自然生态产品价值实现机制</w:t>
      </w:r>
      <w:bookmarkEnd w:id="51"/>
    </w:p>
    <w:p>
      <w:pPr>
        <w:pStyle w:val="37"/>
        <w:spacing w:line="600" w:lineRule="exact"/>
        <w:ind w:firstLine="640"/>
        <w:rPr>
          <w:rFonts w:ascii="仿宋" w:hAnsi="仿宋" w:eastAsia="仿宋"/>
          <w:b/>
          <w:bCs/>
          <w:color w:val="auto"/>
          <w:sz w:val="32"/>
          <w:szCs w:val="32"/>
          <w:highlight w:val="none"/>
          <w:lang w:val="zh-TW" w:eastAsia="zh-TW"/>
        </w:rPr>
      </w:pPr>
      <w:r>
        <w:rPr>
          <w:rFonts w:hint="eastAsia" w:ascii="楷体" w:hAnsi="楷体" w:eastAsia="楷体"/>
          <w:bCs/>
          <w:color w:val="auto"/>
          <w:sz w:val="32"/>
          <w:szCs w:val="32"/>
          <w:highlight w:val="none"/>
        </w:rPr>
        <w:t>1.</w:t>
      </w:r>
      <w:r>
        <w:rPr>
          <w:rFonts w:hint="eastAsia" w:ascii="楷体" w:hAnsi="楷体" w:eastAsia="楷体"/>
          <w:bCs/>
          <w:color w:val="auto"/>
          <w:sz w:val="32"/>
          <w:szCs w:val="32"/>
          <w:highlight w:val="none"/>
          <w:lang w:val="zh-TW" w:eastAsia="zh-TW"/>
        </w:rPr>
        <w:t>推进生态文明示范区建设。</w:t>
      </w:r>
      <w:r>
        <w:rPr>
          <w:rFonts w:hint="eastAsia" w:ascii="仿宋" w:hAnsi="仿宋" w:eastAsia="仿宋"/>
          <w:color w:val="auto"/>
          <w:sz w:val="32"/>
          <w:szCs w:val="32"/>
          <w:highlight w:val="none"/>
          <w:lang w:val="zh-TW"/>
        </w:rPr>
        <w:t>深入推进</w:t>
      </w:r>
      <w:r>
        <w:rPr>
          <w:rFonts w:hint="eastAsia" w:ascii="仿宋" w:hAnsi="仿宋" w:eastAsia="仿宋"/>
          <w:color w:val="auto"/>
          <w:sz w:val="32"/>
          <w:szCs w:val="32"/>
          <w:highlight w:val="none"/>
          <w:lang w:val="zh-TW" w:eastAsia="zh-TW"/>
        </w:rPr>
        <w:t>生态市、生态县、生态乡镇、生态村的生态文明建设示范区提档升级工作，以提升</w:t>
      </w:r>
      <w:r>
        <w:rPr>
          <w:rFonts w:hint="eastAsia" w:ascii="仿宋" w:hAnsi="仿宋" w:eastAsia="仿宋"/>
          <w:color w:val="auto"/>
          <w:sz w:val="32"/>
          <w:szCs w:val="32"/>
          <w:highlight w:val="none"/>
        </w:rPr>
        <w:t>抚顺</w:t>
      </w:r>
      <w:r>
        <w:rPr>
          <w:rFonts w:hint="eastAsia" w:ascii="仿宋" w:hAnsi="仿宋" w:eastAsia="仿宋"/>
          <w:color w:val="auto"/>
          <w:sz w:val="32"/>
          <w:szCs w:val="32"/>
          <w:highlight w:val="none"/>
          <w:lang w:val="zh-TW" w:eastAsia="zh-TW"/>
        </w:rPr>
        <w:t>城市品质</w:t>
      </w:r>
      <w:r>
        <w:rPr>
          <w:rFonts w:hint="eastAsia" w:ascii="仿宋" w:hAnsi="仿宋" w:eastAsia="仿宋"/>
          <w:color w:val="auto"/>
          <w:sz w:val="32"/>
          <w:szCs w:val="32"/>
          <w:highlight w:val="none"/>
          <w:lang w:val="zh-TW"/>
        </w:rPr>
        <w:t>，</w:t>
      </w:r>
      <w:r>
        <w:rPr>
          <w:rFonts w:hint="eastAsia" w:ascii="仿宋" w:hAnsi="仿宋" w:eastAsia="仿宋"/>
          <w:color w:val="auto"/>
          <w:sz w:val="32"/>
          <w:szCs w:val="32"/>
          <w:highlight w:val="none"/>
          <w:lang w:val="zh-TW" w:eastAsia="zh-TW"/>
        </w:rPr>
        <w:t>达到生态文明建设示范市标准，完成国家级生态文明城市创建工作。</w:t>
      </w:r>
    </w:p>
    <w:p>
      <w:pPr>
        <w:spacing w:line="600" w:lineRule="exact"/>
        <w:ind w:firstLine="643"/>
        <w:rPr>
          <w:rFonts w:ascii="仿宋" w:hAnsi="仿宋" w:eastAsia="仿宋" w:cs="Times New Roman"/>
          <w:color w:val="auto"/>
          <w:sz w:val="32"/>
          <w:szCs w:val="32"/>
          <w:highlight w:val="none"/>
        </w:rPr>
      </w:pPr>
      <w:r>
        <w:rPr>
          <w:rFonts w:hint="eastAsia" w:ascii="楷体" w:hAnsi="楷体" w:eastAsia="楷体"/>
          <w:bCs/>
          <w:color w:val="auto"/>
          <w:sz w:val="32"/>
          <w:szCs w:val="32"/>
          <w:highlight w:val="none"/>
        </w:rPr>
        <w:t>2.</w:t>
      </w:r>
      <w:r>
        <w:rPr>
          <w:rFonts w:hint="eastAsia" w:ascii="楷体" w:hAnsi="楷体" w:eastAsia="楷体"/>
          <w:bCs/>
          <w:color w:val="auto"/>
          <w:sz w:val="32"/>
          <w:szCs w:val="32"/>
          <w:highlight w:val="none"/>
          <w:lang w:val="zh-TW" w:eastAsia="zh-TW"/>
        </w:rPr>
        <w:t>打造</w:t>
      </w:r>
      <w:r>
        <w:rPr>
          <w:rFonts w:hint="eastAsia" w:ascii="楷体" w:hAnsi="楷体" w:eastAsia="楷体"/>
          <w:bCs/>
          <w:color w:val="auto"/>
          <w:sz w:val="32"/>
          <w:szCs w:val="32"/>
          <w:highlight w:val="none"/>
        </w:rPr>
        <w:t>“两山”</w:t>
      </w:r>
      <w:r>
        <w:rPr>
          <w:rFonts w:hint="eastAsia" w:ascii="楷体" w:hAnsi="楷体" w:eastAsia="楷体"/>
          <w:bCs/>
          <w:color w:val="auto"/>
          <w:sz w:val="32"/>
          <w:szCs w:val="32"/>
          <w:highlight w:val="none"/>
          <w:lang w:val="zh-TW" w:eastAsia="zh-TW"/>
        </w:rPr>
        <w:t>文化品牌</w:t>
      </w:r>
      <w:r>
        <w:rPr>
          <w:rFonts w:hint="eastAsia" w:ascii="楷体" w:hAnsi="楷体" w:eastAsia="楷体"/>
          <w:bCs/>
          <w:color w:val="auto"/>
          <w:sz w:val="32"/>
          <w:szCs w:val="32"/>
          <w:highlight w:val="none"/>
        </w:rPr>
        <w:t>。</w:t>
      </w:r>
      <w:r>
        <w:rPr>
          <w:rFonts w:hint="eastAsia" w:ascii="仿宋" w:hAnsi="仿宋" w:eastAsia="仿宋"/>
          <w:color w:val="auto"/>
          <w:sz w:val="32"/>
          <w:szCs w:val="32"/>
          <w:highlight w:val="none"/>
        </w:rPr>
        <w:t>积极探索</w:t>
      </w:r>
      <w:r>
        <w:rPr>
          <w:rFonts w:ascii="仿宋" w:hAnsi="仿宋" w:eastAsia="仿宋"/>
          <w:color w:val="auto"/>
          <w:sz w:val="32"/>
          <w:szCs w:val="32"/>
          <w:highlight w:val="none"/>
        </w:rPr>
        <w:t>“</w:t>
      </w:r>
      <w:r>
        <w:rPr>
          <w:rFonts w:hint="eastAsia" w:ascii="仿宋" w:hAnsi="仿宋" w:eastAsia="仿宋"/>
          <w:color w:val="auto"/>
          <w:sz w:val="32"/>
          <w:szCs w:val="32"/>
          <w:highlight w:val="none"/>
        </w:rPr>
        <w:t>两山</w:t>
      </w:r>
      <w:r>
        <w:rPr>
          <w:rFonts w:ascii="仿宋" w:hAnsi="仿宋" w:eastAsia="仿宋"/>
          <w:color w:val="auto"/>
          <w:sz w:val="32"/>
          <w:szCs w:val="32"/>
          <w:highlight w:val="none"/>
        </w:rPr>
        <w:t>”</w:t>
      </w:r>
      <w:r>
        <w:rPr>
          <w:rFonts w:hint="eastAsia" w:ascii="仿宋" w:hAnsi="仿宋" w:eastAsia="仿宋"/>
          <w:color w:val="auto"/>
          <w:sz w:val="32"/>
          <w:szCs w:val="32"/>
          <w:highlight w:val="none"/>
        </w:rPr>
        <w:t>转化模式，有效推动</w:t>
      </w:r>
      <w:r>
        <w:rPr>
          <w:rFonts w:ascii="仿宋" w:hAnsi="仿宋" w:eastAsia="仿宋"/>
          <w:color w:val="auto"/>
          <w:sz w:val="32"/>
          <w:szCs w:val="32"/>
          <w:highlight w:val="none"/>
        </w:rPr>
        <w:t>“</w:t>
      </w:r>
      <w:r>
        <w:rPr>
          <w:rFonts w:hint="eastAsia" w:ascii="仿宋" w:hAnsi="仿宋" w:eastAsia="仿宋"/>
          <w:color w:val="auto"/>
          <w:sz w:val="32"/>
          <w:szCs w:val="32"/>
          <w:highlight w:val="none"/>
        </w:rPr>
        <w:t>两山</w:t>
      </w:r>
      <w:r>
        <w:rPr>
          <w:rFonts w:ascii="仿宋" w:hAnsi="仿宋" w:eastAsia="仿宋"/>
          <w:color w:val="auto"/>
          <w:sz w:val="32"/>
          <w:szCs w:val="32"/>
          <w:highlight w:val="none"/>
        </w:rPr>
        <w:t>”</w:t>
      </w:r>
      <w:r>
        <w:rPr>
          <w:rFonts w:hint="eastAsia" w:ascii="仿宋" w:hAnsi="仿宋" w:eastAsia="仿宋"/>
          <w:color w:val="auto"/>
          <w:sz w:val="32"/>
          <w:szCs w:val="32"/>
          <w:highlight w:val="none"/>
        </w:rPr>
        <w:t>转化的体制机制。选择具备条件的地区开展生态产品价值实现机制试点，探索政府主导、企业和社会各界参与、市场化运作、可持续的生态产品价值实现路径。大力发展冰雪产业，做好冰雪产业规划、冰雪制造设备产品的研究和开发及各项配套，完善冰雪全产业链，积极对接</w:t>
      </w:r>
      <w:r>
        <w:rPr>
          <w:rFonts w:ascii="仿宋" w:hAnsi="仿宋" w:eastAsia="仿宋"/>
          <w:color w:val="auto"/>
          <w:sz w:val="32"/>
          <w:szCs w:val="32"/>
          <w:highlight w:val="none"/>
        </w:rPr>
        <w:t>2022</w:t>
      </w:r>
      <w:r>
        <w:rPr>
          <w:rFonts w:hint="eastAsia" w:ascii="仿宋" w:hAnsi="仿宋" w:eastAsia="仿宋"/>
          <w:color w:val="auto"/>
          <w:sz w:val="32"/>
          <w:szCs w:val="32"/>
          <w:highlight w:val="none"/>
        </w:rPr>
        <w:t>年北京冬奥会，探索</w:t>
      </w:r>
      <w:r>
        <w:rPr>
          <w:rFonts w:ascii="仿宋" w:hAnsi="仿宋" w:eastAsia="仿宋"/>
          <w:color w:val="auto"/>
          <w:sz w:val="32"/>
          <w:szCs w:val="32"/>
          <w:highlight w:val="none"/>
        </w:rPr>
        <w:t>“</w:t>
      </w:r>
      <w:r>
        <w:rPr>
          <w:rFonts w:hint="eastAsia" w:ascii="仿宋" w:hAnsi="仿宋" w:eastAsia="仿宋"/>
          <w:color w:val="auto"/>
          <w:sz w:val="32"/>
          <w:szCs w:val="32"/>
          <w:highlight w:val="none"/>
        </w:rPr>
        <w:t>冰雪</w:t>
      </w:r>
      <w:r>
        <w:rPr>
          <w:rFonts w:ascii="仿宋" w:hAnsi="仿宋" w:eastAsia="仿宋"/>
          <w:color w:val="auto"/>
          <w:sz w:val="32"/>
          <w:szCs w:val="32"/>
          <w:highlight w:val="none"/>
        </w:rPr>
        <w:t>+</w:t>
      </w:r>
      <w:r>
        <w:rPr>
          <w:rFonts w:hint="eastAsia" w:ascii="仿宋" w:hAnsi="仿宋" w:eastAsia="仿宋"/>
          <w:color w:val="auto"/>
          <w:sz w:val="32"/>
          <w:szCs w:val="32"/>
          <w:highlight w:val="none"/>
        </w:rPr>
        <w:t>旅游</w:t>
      </w:r>
      <w:r>
        <w:rPr>
          <w:rFonts w:ascii="仿宋" w:hAnsi="仿宋" w:eastAsia="仿宋"/>
          <w:color w:val="auto"/>
          <w:sz w:val="32"/>
          <w:szCs w:val="32"/>
          <w:highlight w:val="none"/>
        </w:rPr>
        <w:t>”“</w:t>
      </w:r>
      <w:r>
        <w:rPr>
          <w:rFonts w:hint="eastAsia" w:ascii="仿宋" w:hAnsi="仿宋" w:eastAsia="仿宋"/>
          <w:color w:val="auto"/>
          <w:sz w:val="32"/>
          <w:szCs w:val="32"/>
          <w:highlight w:val="none"/>
        </w:rPr>
        <w:t>冰雪</w:t>
      </w:r>
      <w:r>
        <w:rPr>
          <w:rFonts w:ascii="仿宋" w:hAnsi="仿宋" w:eastAsia="仿宋"/>
          <w:color w:val="auto"/>
          <w:sz w:val="32"/>
          <w:szCs w:val="32"/>
          <w:highlight w:val="none"/>
        </w:rPr>
        <w:t>+</w:t>
      </w:r>
      <w:r>
        <w:rPr>
          <w:rFonts w:hint="eastAsia" w:ascii="仿宋" w:hAnsi="仿宋" w:eastAsia="仿宋"/>
          <w:color w:val="auto"/>
          <w:sz w:val="32"/>
          <w:szCs w:val="32"/>
          <w:highlight w:val="none"/>
        </w:rPr>
        <w:t>文化</w:t>
      </w:r>
      <w:r>
        <w:rPr>
          <w:rFonts w:ascii="仿宋" w:hAnsi="仿宋" w:eastAsia="仿宋"/>
          <w:color w:val="auto"/>
          <w:sz w:val="32"/>
          <w:szCs w:val="32"/>
          <w:highlight w:val="none"/>
        </w:rPr>
        <w:t>”“</w:t>
      </w:r>
      <w:r>
        <w:rPr>
          <w:rFonts w:hint="eastAsia" w:ascii="仿宋" w:hAnsi="仿宋" w:eastAsia="仿宋"/>
          <w:color w:val="auto"/>
          <w:sz w:val="32"/>
          <w:szCs w:val="32"/>
          <w:highlight w:val="none"/>
        </w:rPr>
        <w:t>冰雪</w:t>
      </w:r>
      <w:r>
        <w:rPr>
          <w:rFonts w:ascii="仿宋" w:hAnsi="仿宋" w:eastAsia="仿宋"/>
          <w:color w:val="auto"/>
          <w:sz w:val="32"/>
          <w:szCs w:val="32"/>
          <w:highlight w:val="none"/>
        </w:rPr>
        <w:t>+</w:t>
      </w:r>
      <w:r>
        <w:rPr>
          <w:rFonts w:hint="eastAsia" w:ascii="仿宋" w:hAnsi="仿宋" w:eastAsia="仿宋"/>
          <w:color w:val="auto"/>
          <w:sz w:val="32"/>
          <w:szCs w:val="32"/>
          <w:highlight w:val="none"/>
        </w:rPr>
        <w:t>体育</w:t>
      </w:r>
      <w:r>
        <w:rPr>
          <w:rFonts w:ascii="仿宋" w:hAnsi="仿宋" w:eastAsia="仿宋"/>
          <w:color w:val="auto"/>
          <w:sz w:val="32"/>
          <w:szCs w:val="32"/>
          <w:highlight w:val="none"/>
        </w:rPr>
        <w:t>”</w:t>
      </w:r>
      <w:r>
        <w:rPr>
          <w:rFonts w:hint="eastAsia" w:ascii="仿宋" w:hAnsi="仿宋" w:eastAsia="仿宋"/>
          <w:color w:val="auto"/>
          <w:sz w:val="32"/>
          <w:szCs w:val="32"/>
          <w:highlight w:val="none"/>
        </w:rPr>
        <w:t>等冰雪产业发展新模式。</w:t>
      </w:r>
    </w:p>
    <w:p>
      <w:pPr>
        <w:pStyle w:val="23"/>
        <w:spacing w:line="600" w:lineRule="exact"/>
        <w:ind w:firstLine="640"/>
        <w:rPr>
          <w:rFonts w:ascii="仿宋" w:hAnsi="仿宋" w:eastAsia="仿宋" w:cstheme="minorBidi"/>
          <w:color w:val="auto"/>
          <w:szCs w:val="32"/>
          <w:highlight w:val="none"/>
          <w:lang w:val="zh-TW" w:eastAsia="zh-TW"/>
        </w:rPr>
      </w:pPr>
      <w:r>
        <w:rPr>
          <w:rFonts w:hint="eastAsia" w:ascii="楷体" w:hAnsi="楷体" w:eastAsia="楷体"/>
          <w:bCs/>
          <w:color w:val="auto"/>
          <w:szCs w:val="32"/>
          <w:highlight w:val="none"/>
        </w:rPr>
        <w:t>3.</w:t>
      </w:r>
      <w:r>
        <w:rPr>
          <w:rFonts w:hint="eastAsia" w:ascii="楷体" w:hAnsi="楷体" w:eastAsia="楷体"/>
          <w:bCs/>
          <w:color w:val="auto"/>
          <w:szCs w:val="32"/>
          <w:highlight w:val="none"/>
          <w:lang w:val="zh-TW" w:eastAsia="zh-TW"/>
        </w:rPr>
        <w:t>提升自然保护区生态产品供给能力。</w:t>
      </w:r>
      <w:r>
        <w:rPr>
          <w:rFonts w:hint="eastAsia" w:ascii="仿宋" w:hAnsi="仿宋" w:eastAsia="仿宋" w:cstheme="minorBidi"/>
          <w:color w:val="auto"/>
          <w:szCs w:val="32"/>
          <w:highlight w:val="none"/>
        </w:rPr>
        <w:t>全面落实国家建设</w:t>
      </w:r>
      <w:r>
        <w:rPr>
          <w:rFonts w:hint="eastAsia" w:ascii="仿宋" w:hAnsi="仿宋" w:eastAsia="仿宋" w:cstheme="minorBidi"/>
          <w:color w:val="auto"/>
          <w:szCs w:val="32"/>
          <w:highlight w:val="none"/>
          <w:lang w:val="en-US" w:eastAsia="zh-CN"/>
        </w:rPr>
        <w:t>辽东</w:t>
      </w:r>
      <w:r>
        <w:rPr>
          <w:rFonts w:hint="eastAsia" w:ascii="仿宋" w:hAnsi="仿宋" w:eastAsia="仿宋" w:cstheme="minorBidi"/>
          <w:color w:val="auto"/>
          <w:szCs w:val="32"/>
          <w:highlight w:val="none"/>
        </w:rPr>
        <w:t>绿色经济</w:t>
      </w:r>
      <w:r>
        <w:rPr>
          <w:rFonts w:hint="eastAsia" w:ascii="仿宋" w:hAnsi="仿宋" w:eastAsia="仿宋" w:cstheme="minorBidi"/>
          <w:color w:val="auto"/>
          <w:szCs w:val="32"/>
          <w:highlight w:val="none"/>
          <w:lang w:val="en-US" w:eastAsia="zh-CN"/>
        </w:rPr>
        <w:t>区</w:t>
      </w:r>
      <w:r>
        <w:rPr>
          <w:rFonts w:hint="eastAsia" w:ascii="仿宋" w:hAnsi="仿宋" w:eastAsia="仿宋" w:cstheme="minorBidi"/>
          <w:color w:val="auto"/>
          <w:szCs w:val="32"/>
          <w:highlight w:val="none"/>
        </w:rPr>
        <w:t>部署，依托抚顺县、新宾县</w:t>
      </w:r>
      <w:r>
        <w:rPr>
          <w:rFonts w:hint="eastAsia" w:ascii="仿宋" w:hAnsi="仿宋" w:eastAsia="仿宋" w:cstheme="minorBidi"/>
          <w:color w:val="auto"/>
          <w:szCs w:val="32"/>
          <w:highlight w:val="none"/>
          <w:lang w:eastAsia="zh-CN"/>
        </w:rPr>
        <w:t>、</w:t>
      </w:r>
      <w:r>
        <w:rPr>
          <w:rFonts w:hint="eastAsia" w:ascii="仿宋" w:hAnsi="仿宋" w:eastAsia="仿宋" w:cstheme="minorBidi"/>
          <w:color w:val="auto"/>
          <w:szCs w:val="32"/>
          <w:highlight w:val="none"/>
        </w:rPr>
        <w:t>清原县丰富的森林资源和优质的水资源，协同探索推进生态优先，绿色发展新路径。在水源保护区内实施农业“双减工程”，大力推广使用生物农药和有机肥，发展绿色有机农业。进一步完善大伙房水源涵养基地有机绿色农业示范基地建设规划和监管体系建设，大力发展食用菌、中药材、短梗五加茶、杂粮、水稻、归圃山野菜、绿色果蔬等有机食品，创建本土品牌。</w:t>
      </w:r>
      <w:r>
        <w:rPr>
          <w:rFonts w:hint="eastAsia" w:ascii="仿宋" w:hAnsi="仿宋" w:eastAsia="仿宋"/>
          <w:color w:val="auto"/>
          <w:szCs w:val="32"/>
          <w:highlight w:val="none"/>
        </w:rPr>
        <w:t>开展生态教育、自然体验、生态旅游等活动，构建高品质、多样化的生态产品体系。以绿色、特色品牌为牵动，大力发展绿色农产品深加工，因地制宜推进生态旅游、生态文化等产业发展。</w:t>
      </w:r>
    </w:p>
    <w:p>
      <w:pPr>
        <w:pStyle w:val="23"/>
        <w:spacing w:line="600" w:lineRule="exact"/>
        <w:ind w:firstLine="640"/>
        <w:rPr>
          <w:rFonts w:hint="default" w:ascii="仿宋" w:hAnsi="仿宋" w:eastAsia="仿宋"/>
          <w:color w:val="auto"/>
          <w:szCs w:val="32"/>
          <w:highlight w:val="none"/>
          <w:lang w:val="en-US" w:eastAsia="zh-CN"/>
        </w:rPr>
      </w:pPr>
      <w:r>
        <w:rPr>
          <w:rFonts w:hint="eastAsia" w:ascii="楷体" w:hAnsi="楷体" w:eastAsia="楷体"/>
          <w:bCs/>
          <w:color w:val="auto"/>
          <w:szCs w:val="32"/>
          <w:highlight w:val="none"/>
        </w:rPr>
        <w:t>4.</w:t>
      </w:r>
      <w:r>
        <w:rPr>
          <w:rFonts w:hint="eastAsia" w:ascii="楷体" w:hAnsi="楷体" w:eastAsia="楷体"/>
          <w:bCs/>
          <w:color w:val="auto"/>
          <w:szCs w:val="32"/>
          <w:highlight w:val="none"/>
          <w:lang w:val="zh-TW" w:eastAsia="zh-TW"/>
        </w:rPr>
        <w:t>探索建立市场化、多元化生态补偿机制。</w:t>
      </w:r>
      <w:r>
        <w:rPr>
          <w:rFonts w:hint="eastAsia" w:ascii="仿宋" w:hAnsi="仿宋" w:eastAsia="仿宋"/>
          <w:color w:val="auto"/>
          <w:szCs w:val="32"/>
          <w:highlight w:val="none"/>
          <w:lang w:val="en-US" w:eastAsia="zh-CN"/>
        </w:rPr>
        <w:t>开展生态产品信息普查，积极推动大规模国土绿化行动，有效发挥森林生态系统固碳作用，提升生态系统碳汇增量，</w:t>
      </w:r>
      <w:r>
        <w:rPr>
          <w:rFonts w:hint="eastAsia" w:ascii="仿宋" w:hAnsi="仿宋" w:eastAsia="仿宋"/>
          <w:color w:val="auto"/>
          <w:szCs w:val="32"/>
          <w:highlight w:val="none"/>
          <w:lang w:val="zh-TW"/>
        </w:rPr>
        <w:t>探索围绕生态产品价值实现</w:t>
      </w:r>
      <w:r>
        <w:rPr>
          <w:rFonts w:hint="eastAsia" w:ascii="仿宋" w:hAnsi="仿宋" w:eastAsia="仿宋"/>
          <w:color w:val="auto"/>
          <w:szCs w:val="32"/>
          <w:highlight w:val="none"/>
          <w:lang w:val="zh-TW" w:eastAsia="zh-CN"/>
        </w:rPr>
        <w:t>。</w:t>
      </w:r>
      <w:r>
        <w:rPr>
          <w:rFonts w:hint="eastAsia" w:ascii="仿宋" w:hAnsi="仿宋" w:eastAsia="仿宋"/>
          <w:color w:val="auto"/>
          <w:szCs w:val="32"/>
          <w:highlight w:val="none"/>
          <w:lang w:val="en-US" w:eastAsia="zh-CN"/>
        </w:rPr>
        <w:t>依据生态产品价值核算结果，探索碳交易等生态产品实现途径。</w:t>
      </w:r>
      <w:r>
        <w:rPr>
          <w:rFonts w:hint="eastAsia" w:ascii="仿宋" w:hAnsi="仿宋" w:eastAsia="仿宋"/>
          <w:color w:val="auto"/>
          <w:szCs w:val="32"/>
          <w:highlight w:val="none"/>
          <w:lang w:val="zh-TW"/>
        </w:rPr>
        <w:t>鼓励开展基于自然资源产权交易的市场化、多元化横向生态补偿。健全耕地草原森林河流湖泊休养生息制度。</w:t>
      </w:r>
      <w:r>
        <w:rPr>
          <w:rFonts w:hint="eastAsia" w:ascii="仿宋" w:hAnsi="仿宋" w:eastAsia="仿宋"/>
          <w:color w:val="auto"/>
          <w:szCs w:val="32"/>
          <w:highlight w:val="none"/>
          <w:lang w:val="en-US" w:eastAsia="zh-CN"/>
        </w:rPr>
        <w:t>积极争取国家对东北地区重点生态功能区财政转移支付支持，争取大伙房水源保护区生态补偿政策、资金、指标、项目支持，建立大伙房水源保护区多元投入机制和监管机制。积极探索生态综合补偿试点工作，实现生态水源保护和受益地区的良性互动。</w:t>
      </w:r>
    </w:p>
    <w:p>
      <w:pPr>
        <w:pStyle w:val="23"/>
        <w:spacing w:line="800" w:lineRule="exact"/>
        <w:ind w:firstLine="643"/>
        <w:outlineLvl w:val="0"/>
        <w:rPr>
          <w:rFonts w:asciiTheme="minorEastAsia" w:hAnsiTheme="minorEastAsia" w:eastAsiaTheme="minorEastAsia"/>
          <w:b/>
          <w:color w:val="auto"/>
          <w:szCs w:val="32"/>
          <w:highlight w:val="none"/>
          <w:lang w:val="zh-TW" w:eastAsia="zh-TW"/>
        </w:rPr>
      </w:pPr>
      <w:bookmarkStart w:id="52" w:name="_Toc17948"/>
      <w:r>
        <w:rPr>
          <w:rFonts w:hint="eastAsia" w:asciiTheme="minorEastAsia" w:hAnsiTheme="minorEastAsia" w:eastAsiaTheme="minorEastAsia"/>
          <w:b/>
          <w:color w:val="auto"/>
          <w:szCs w:val="32"/>
          <w:highlight w:val="none"/>
          <w:lang w:val="en-US" w:eastAsia="zh-CN"/>
        </w:rPr>
        <w:t>八</w:t>
      </w:r>
      <w:r>
        <w:rPr>
          <w:rFonts w:hint="eastAsia" w:asciiTheme="minorEastAsia" w:hAnsiTheme="minorEastAsia" w:eastAsiaTheme="minorEastAsia"/>
          <w:b/>
          <w:color w:val="auto"/>
          <w:szCs w:val="32"/>
          <w:highlight w:val="none"/>
        </w:rPr>
        <w:t>、</w:t>
      </w:r>
      <w:r>
        <w:rPr>
          <w:rFonts w:hint="eastAsia" w:asciiTheme="minorEastAsia" w:hAnsiTheme="minorEastAsia" w:eastAsiaTheme="minorEastAsia"/>
          <w:b/>
          <w:color w:val="auto"/>
          <w:szCs w:val="32"/>
          <w:highlight w:val="none"/>
          <w:lang w:val="zh-TW"/>
        </w:rPr>
        <w:t>加快</w:t>
      </w:r>
      <w:r>
        <w:rPr>
          <w:rFonts w:hint="eastAsia" w:cs="仿宋" w:asciiTheme="minorEastAsia" w:hAnsiTheme="minorEastAsia" w:eastAsiaTheme="minorEastAsia"/>
          <w:b/>
          <w:bCs/>
          <w:color w:val="auto"/>
          <w:szCs w:val="32"/>
          <w:highlight w:val="none"/>
        </w:rPr>
        <w:t>生态环境治理体系建设，促进治理能力现代化</w:t>
      </w:r>
      <w:bookmarkEnd w:id="52"/>
    </w:p>
    <w:p>
      <w:pPr>
        <w:pStyle w:val="23"/>
        <w:spacing w:line="600" w:lineRule="exact"/>
        <w:ind w:firstLine="640"/>
        <w:rPr>
          <w:rFonts w:ascii="仿宋" w:hAnsi="仿宋" w:eastAsia="仿宋" w:cs="楷体"/>
          <w:color w:val="auto"/>
          <w:szCs w:val="32"/>
          <w:highlight w:val="none"/>
        </w:rPr>
      </w:pPr>
      <w:r>
        <w:rPr>
          <w:rFonts w:hint="eastAsia" w:ascii="仿宋" w:hAnsi="仿宋" w:eastAsia="仿宋" w:cs="楷体"/>
          <w:color w:val="auto"/>
          <w:szCs w:val="32"/>
          <w:highlight w:val="none"/>
        </w:rPr>
        <w:t>持续深化生态环保领域改革，健全环境治理法规政策体系。着力构建政府为主导、企业为主体、社会组织和公众共同参与的生态环境治理体系。以5G、云计算、大数据、物联网、移动应用、智能控制等新技术为契机，加快数字化进程，大力提升生态环境治理能力现代化水平，为推动高质量发展和高水平保护、建设美丽中国奠定更加坚实的基础。</w:t>
      </w:r>
    </w:p>
    <w:p>
      <w:pPr>
        <w:pStyle w:val="23"/>
        <w:spacing w:line="600" w:lineRule="exact"/>
        <w:ind w:firstLine="643"/>
        <w:outlineLvl w:val="1"/>
        <w:rPr>
          <w:rFonts w:cs="楷体" w:asciiTheme="minorEastAsia" w:hAnsiTheme="minorEastAsia" w:eastAsiaTheme="minorEastAsia"/>
          <w:b/>
          <w:color w:val="auto"/>
          <w:szCs w:val="32"/>
          <w:highlight w:val="none"/>
        </w:rPr>
      </w:pPr>
      <w:bookmarkStart w:id="53" w:name="_Toc22612"/>
      <w:r>
        <w:rPr>
          <w:rFonts w:hint="eastAsia" w:asciiTheme="minorEastAsia" w:hAnsiTheme="minorEastAsia" w:eastAsiaTheme="minorEastAsia"/>
          <w:b/>
          <w:color w:val="auto"/>
          <w:highlight w:val="none"/>
        </w:rPr>
        <w:t>（一）深化“放管服”改革</w:t>
      </w:r>
      <w:bookmarkEnd w:id="53"/>
    </w:p>
    <w:p>
      <w:pPr>
        <w:pStyle w:val="23"/>
        <w:spacing w:line="600" w:lineRule="exact"/>
        <w:ind w:firstLine="640"/>
        <w:rPr>
          <w:rFonts w:ascii="仿宋" w:hAnsi="仿宋" w:eastAsia="仿宋"/>
          <w:color w:val="auto"/>
          <w:szCs w:val="32"/>
          <w:highlight w:val="none"/>
        </w:rPr>
      </w:pPr>
      <w:r>
        <w:rPr>
          <w:rFonts w:hint="eastAsia" w:ascii="仿宋" w:hAnsi="仿宋" w:eastAsia="仿宋"/>
          <w:color w:val="auto"/>
          <w:szCs w:val="32"/>
          <w:highlight w:val="none"/>
        </w:rPr>
        <w:t>深化环评审批“放管服”改革，严格执行《建设项目环境影响评价分类管理名录》,做到“名录”外无审批。落实省厅正面清单。在抚顺高新技术产业开发区、抚顺胜利经济开发区、抚顺望花经济开发区、抚顺顺城经济开发区、清原县产业园区、新宾县产业园区、抚顺县产业园区等工业园区规划环评包含业态的建设项目环评内容简化评价。对疫情防控物资生产类等建设项目开辟“绿色通道”，实施特事特办。开展</w:t>
      </w:r>
      <w:r>
        <w:rPr>
          <w:rFonts w:hint="eastAsia" w:ascii="仿宋" w:hAnsi="仿宋" w:eastAsia="仿宋"/>
          <w:color w:val="auto"/>
          <w:szCs w:val="32"/>
          <w:highlight w:val="none"/>
          <w:lang w:val="en-US" w:eastAsia="zh-CN"/>
        </w:rPr>
        <w:t>涉及</w:t>
      </w:r>
      <w:r>
        <w:rPr>
          <w:rFonts w:ascii="仿宋" w:hAnsi="仿宋" w:eastAsia="仿宋"/>
          <w:color w:val="auto"/>
          <w:szCs w:val="32"/>
          <w:highlight w:val="none"/>
        </w:rPr>
        <w:t>VOCs</w:t>
      </w:r>
      <w:r>
        <w:rPr>
          <w:rFonts w:hint="eastAsia" w:ascii="仿宋" w:hAnsi="仿宋" w:eastAsia="仿宋"/>
          <w:color w:val="auto"/>
          <w:szCs w:val="32"/>
          <w:highlight w:val="none"/>
        </w:rPr>
        <w:t>重点行业项目后评价，强化事中事后监管。开展企业帮扶活动，畅通组织沟通渠道，建立帮扶指导机制。</w:t>
      </w:r>
    </w:p>
    <w:p>
      <w:pPr>
        <w:pStyle w:val="23"/>
        <w:spacing w:line="600" w:lineRule="exact"/>
        <w:ind w:firstLine="643"/>
        <w:outlineLvl w:val="1"/>
        <w:rPr>
          <w:rFonts w:asciiTheme="minorEastAsia" w:hAnsiTheme="minorEastAsia" w:eastAsiaTheme="minorEastAsia"/>
          <w:b/>
          <w:color w:val="auto"/>
          <w:szCs w:val="32"/>
          <w:highlight w:val="none"/>
        </w:rPr>
      </w:pPr>
      <w:bookmarkStart w:id="54" w:name="_Toc2386"/>
      <w:r>
        <w:rPr>
          <w:rFonts w:hint="eastAsia" w:asciiTheme="minorEastAsia" w:hAnsiTheme="minorEastAsia" w:eastAsiaTheme="minorEastAsia"/>
          <w:b/>
          <w:color w:val="auto"/>
          <w:highlight w:val="none"/>
        </w:rPr>
        <w:t>（二）推进数字信息化发展</w:t>
      </w:r>
      <w:bookmarkEnd w:id="54"/>
    </w:p>
    <w:p>
      <w:pPr>
        <w:pStyle w:val="23"/>
        <w:spacing w:line="600" w:lineRule="exact"/>
        <w:ind w:firstLine="640"/>
        <w:rPr>
          <w:rFonts w:ascii="仿宋" w:hAnsi="仿宋" w:eastAsia="仿宋"/>
          <w:color w:val="auto"/>
          <w:szCs w:val="32"/>
          <w:highlight w:val="none"/>
        </w:rPr>
      </w:pPr>
      <w:r>
        <w:rPr>
          <w:rFonts w:hint="eastAsia" w:ascii="楷体" w:hAnsi="楷体" w:eastAsia="楷体" w:cs="宋体"/>
          <w:bCs/>
          <w:color w:val="auto"/>
          <w:szCs w:val="32"/>
          <w:highlight w:val="none"/>
        </w:rPr>
        <w:t>1.推动信息系统整合。</w:t>
      </w:r>
      <w:r>
        <w:rPr>
          <w:rFonts w:hint="eastAsia" w:ascii="仿宋" w:hAnsi="仿宋" w:eastAsia="仿宋"/>
          <w:color w:val="auto"/>
          <w:szCs w:val="32"/>
          <w:highlight w:val="none"/>
        </w:rPr>
        <w:t>全面排查、梳理现有的信息系统和业务数据，对生态环境数据资源进行有效收集、存储、整合、管理分析、发布，推动信息资产的管理、共享和利用，进而打通数据之间的壁垒，消除信息孤岛现象，提高数据有效利用，增强生态环境信息化应用能力。重构传统的业务模式，按照环境要素功能，分为</w:t>
      </w:r>
      <w:r>
        <w:rPr>
          <w:rFonts w:ascii="仿宋" w:hAnsi="仿宋" w:eastAsia="仿宋"/>
          <w:color w:val="auto"/>
          <w:szCs w:val="32"/>
          <w:highlight w:val="none"/>
        </w:rPr>
        <w:t>“</w:t>
      </w:r>
      <w:r>
        <w:rPr>
          <w:rFonts w:hint="eastAsia" w:ascii="仿宋" w:hAnsi="仿宋" w:eastAsia="仿宋"/>
          <w:color w:val="auto"/>
          <w:szCs w:val="32"/>
          <w:highlight w:val="none"/>
        </w:rPr>
        <w:t>水、气、土、核、工业、审批、综合</w:t>
      </w:r>
      <w:r>
        <w:rPr>
          <w:rFonts w:ascii="仿宋" w:hAnsi="仿宋" w:eastAsia="仿宋"/>
          <w:color w:val="auto"/>
          <w:szCs w:val="32"/>
          <w:highlight w:val="none"/>
        </w:rPr>
        <w:t>”</w:t>
      </w:r>
      <w:r>
        <w:rPr>
          <w:rFonts w:hint="eastAsia" w:ascii="仿宋" w:hAnsi="仿宋" w:eastAsia="仿宋"/>
          <w:color w:val="auto"/>
          <w:szCs w:val="32"/>
          <w:highlight w:val="none"/>
        </w:rPr>
        <w:t>七个环境要素和</w:t>
      </w:r>
      <w:r>
        <w:rPr>
          <w:rFonts w:ascii="仿宋" w:hAnsi="仿宋" w:eastAsia="仿宋"/>
          <w:color w:val="auto"/>
          <w:szCs w:val="32"/>
          <w:highlight w:val="none"/>
        </w:rPr>
        <w:t>“</w:t>
      </w:r>
      <w:r>
        <w:rPr>
          <w:rFonts w:hint="eastAsia" w:ascii="仿宋" w:hAnsi="仿宋" w:eastAsia="仿宋"/>
          <w:color w:val="auto"/>
          <w:szCs w:val="32"/>
          <w:highlight w:val="none"/>
        </w:rPr>
        <w:t>数据中心、执法与信访举报、办公自动化</w:t>
      </w:r>
      <w:r>
        <w:rPr>
          <w:rFonts w:ascii="仿宋" w:hAnsi="仿宋" w:eastAsia="仿宋"/>
          <w:color w:val="auto"/>
          <w:szCs w:val="32"/>
          <w:highlight w:val="none"/>
        </w:rPr>
        <w:t>”</w:t>
      </w:r>
      <w:r>
        <w:rPr>
          <w:rFonts w:hint="eastAsia" w:ascii="仿宋" w:hAnsi="仿宋" w:eastAsia="仿宋"/>
          <w:color w:val="auto"/>
          <w:szCs w:val="32"/>
          <w:highlight w:val="none"/>
        </w:rPr>
        <w:t>三个支撑功能。</w:t>
      </w:r>
    </w:p>
    <w:p>
      <w:pPr>
        <w:pStyle w:val="23"/>
        <w:spacing w:line="600" w:lineRule="exact"/>
        <w:ind w:firstLine="640"/>
        <w:rPr>
          <w:rFonts w:ascii="仿宋" w:hAnsi="仿宋" w:eastAsia="仿宋"/>
          <w:color w:val="auto"/>
          <w:szCs w:val="32"/>
          <w:highlight w:val="none"/>
        </w:rPr>
      </w:pPr>
      <w:r>
        <w:rPr>
          <w:rFonts w:hint="eastAsia" w:ascii="楷体" w:hAnsi="楷体" w:eastAsia="楷体" w:cs="宋体"/>
          <w:bCs/>
          <w:color w:val="auto"/>
          <w:szCs w:val="32"/>
          <w:highlight w:val="none"/>
        </w:rPr>
        <w:t>2.搭建生态环境大数据平台。</w:t>
      </w:r>
      <w:r>
        <w:rPr>
          <w:rFonts w:hint="eastAsia" w:ascii="仿宋" w:hAnsi="仿宋" w:eastAsia="仿宋"/>
          <w:color w:val="auto"/>
          <w:szCs w:val="32"/>
          <w:highlight w:val="none"/>
        </w:rPr>
        <w:t>以推进生态环境治理体系和治理能力现代化作为总目标，以“大数据、大系统、大平台”作为生态环境信息化的顶层架构，搭建市、县、乡三级生态环境大数据平台，准确、及时监测生态环境情况，为生态环境保护科学决策提供依据。建立底数清、数据准、覆盖全的固定污染源统一数据库，实现全市固定污染源系统“上下贯通、左右打通、前后连通”，全面、动态、系统掌握全市固定污染源数量、行业、地区分布、排放及监管现状，提高固定污染源环境管理系统化、精细化、科学化水平。</w:t>
      </w:r>
    </w:p>
    <w:p>
      <w:pPr>
        <w:pStyle w:val="23"/>
        <w:spacing w:line="600" w:lineRule="exact"/>
        <w:ind w:firstLine="640"/>
        <w:rPr>
          <w:rFonts w:hint="eastAsia" w:ascii="仿宋" w:hAnsi="仿宋" w:eastAsia="仿宋"/>
          <w:color w:val="auto"/>
          <w:szCs w:val="32"/>
          <w:highlight w:val="none"/>
        </w:rPr>
      </w:pPr>
      <w:r>
        <w:rPr>
          <w:rFonts w:hint="eastAsia" w:ascii="楷体" w:hAnsi="楷体" w:eastAsia="楷体" w:cs="宋体"/>
          <w:bCs/>
          <w:color w:val="auto"/>
          <w:szCs w:val="32"/>
          <w:highlight w:val="none"/>
        </w:rPr>
        <w:t>3.提升天地一体化生态监测评估及预警水平。</w:t>
      </w:r>
      <w:r>
        <w:rPr>
          <w:rFonts w:hint="eastAsia" w:ascii="仿宋" w:hAnsi="仿宋" w:eastAsia="仿宋"/>
          <w:color w:val="auto"/>
          <w:szCs w:val="32"/>
          <w:highlight w:val="none"/>
        </w:rPr>
        <w:t>面对生态保护监管“面广、量大”的业务特点，以卫星遥感技术为主要驱动，基于“天—空—地”一体化监测技术体系，建设和完善生态保护综合监测网络体系，形成生态保护日常监测和数据获取能力。运用云计算、物联网等信息化手段，形成生态保护综合监管和分析预警能力，全面掌握生态系统构成、分布与动态变化，及时评估和预警生态风险，提高生态保护管理决策科学化水平。</w:t>
      </w:r>
    </w:p>
    <w:tbl>
      <w:tblPr>
        <w:tblStyle w:val="24"/>
        <w:tblpPr w:leftFromText="180" w:rightFromText="180" w:vertAnchor="text" w:horzAnchor="page" w:tblpX="1939" w:tblpY="5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22" w:type="dxa"/>
            <w:tcBorders>
              <w:top w:val="single" w:color="auto" w:sz="4" w:space="0"/>
              <w:left w:val="single" w:color="auto" w:sz="4" w:space="0"/>
              <w:bottom w:val="single" w:color="auto" w:sz="4" w:space="0"/>
              <w:right w:val="single" w:color="auto" w:sz="4" w:space="0"/>
            </w:tcBorders>
          </w:tcPr>
          <w:p>
            <w:pPr>
              <w:spacing w:line="400" w:lineRule="exact"/>
              <w:ind w:firstLine="480"/>
              <w:rPr>
                <w:rFonts w:ascii="楷体" w:hAnsi="楷体" w:eastAsia="楷体" w:cs="仿宋"/>
                <w:b/>
                <w:bCs/>
                <w:color w:val="auto"/>
                <w:sz w:val="28"/>
                <w:szCs w:val="28"/>
                <w:highlight w:val="none"/>
              </w:rPr>
            </w:pPr>
            <w:r>
              <w:rPr>
                <w:rFonts w:hint="eastAsia" w:ascii="楷体" w:hAnsi="楷体" w:eastAsia="楷体" w:cs="仿宋"/>
                <w:b/>
                <w:bCs/>
                <w:color w:val="auto"/>
                <w:sz w:val="28"/>
                <w:szCs w:val="28"/>
                <w:highlight w:val="none"/>
              </w:rPr>
              <w:t>专栏</w:t>
            </w:r>
            <w:r>
              <w:rPr>
                <w:rFonts w:hint="eastAsia" w:ascii="楷体" w:hAnsi="楷体" w:eastAsia="楷体" w:cs="仿宋"/>
                <w:b/>
                <w:bCs/>
                <w:color w:val="auto"/>
                <w:sz w:val="28"/>
                <w:szCs w:val="28"/>
                <w:highlight w:val="none"/>
                <w:lang w:val="en-US" w:eastAsia="zh-CN"/>
              </w:rPr>
              <w:t>9</w:t>
            </w:r>
            <w:r>
              <w:rPr>
                <w:rFonts w:hint="eastAsia" w:ascii="楷体" w:hAnsi="楷体" w:eastAsia="楷体" w:cs="仿宋"/>
                <w:b/>
                <w:bCs/>
                <w:color w:val="auto"/>
                <w:sz w:val="28"/>
                <w:szCs w:val="28"/>
                <w:highlight w:val="none"/>
              </w:rPr>
              <w:t>：提升生态治理能力现代化水平重点项目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222" w:type="dxa"/>
            <w:tcBorders>
              <w:top w:val="single" w:color="auto" w:sz="4" w:space="0"/>
              <w:left w:val="single" w:color="auto" w:sz="4" w:space="0"/>
              <w:bottom w:val="single" w:color="auto" w:sz="4" w:space="0"/>
              <w:right w:val="single" w:color="auto" w:sz="4" w:space="0"/>
            </w:tcBorders>
          </w:tcPr>
          <w:p>
            <w:pPr>
              <w:numPr>
                <w:ilvl w:val="0"/>
                <w:numId w:val="9"/>
              </w:numPr>
              <w:spacing w:line="400" w:lineRule="exact"/>
              <w:ind w:left="282" w:leftChars="0" w:hanging="282" w:firstLineChars="0"/>
              <w:rPr>
                <w:rFonts w:ascii="楷体" w:hAnsi="楷体" w:eastAsia="楷体" w:cs="仿宋"/>
                <w:b/>
                <w:bCs/>
                <w:color w:val="auto"/>
                <w:sz w:val="28"/>
                <w:szCs w:val="28"/>
                <w:highlight w:val="none"/>
              </w:rPr>
            </w:pPr>
            <w:r>
              <w:rPr>
                <w:rFonts w:hint="eastAsia"/>
                <w:color w:val="auto"/>
                <w:highlight w:val="none"/>
              </w:rPr>
              <w:t>抚顺市环境空气挥发性有机物自动监测能力建设项目及抚顺市环境空气细颗粒物组分自动监测能力建设项目</w:t>
            </w:r>
          </w:p>
        </w:tc>
      </w:tr>
    </w:tbl>
    <w:p>
      <w:pPr>
        <w:pStyle w:val="23"/>
        <w:spacing w:line="600" w:lineRule="exact"/>
        <w:ind w:firstLine="643"/>
        <w:outlineLvl w:val="1"/>
        <w:rPr>
          <w:rFonts w:asciiTheme="minorEastAsia" w:hAnsiTheme="minorEastAsia" w:eastAsiaTheme="minorEastAsia"/>
          <w:b/>
          <w:color w:val="auto"/>
          <w:szCs w:val="32"/>
          <w:highlight w:val="none"/>
        </w:rPr>
      </w:pPr>
      <w:bookmarkStart w:id="55" w:name="_Toc23702"/>
      <w:r>
        <w:rPr>
          <w:rFonts w:hint="eastAsia" w:asciiTheme="minorEastAsia" w:hAnsiTheme="minorEastAsia" w:eastAsiaTheme="minorEastAsia"/>
          <w:b/>
          <w:color w:val="auto"/>
          <w:highlight w:val="none"/>
        </w:rPr>
        <w:t>（三）促进多元化主体协同共治</w:t>
      </w:r>
      <w:bookmarkEnd w:id="55"/>
    </w:p>
    <w:p>
      <w:pPr>
        <w:pStyle w:val="23"/>
        <w:spacing w:line="600" w:lineRule="exact"/>
        <w:ind w:firstLine="640"/>
        <w:rPr>
          <w:rFonts w:ascii="仿宋" w:hAnsi="仿宋" w:eastAsia="仿宋" w:cs="宋体"/>
          <w:color w:val="auto"/>
          <w:szCs w:val="32"/>
          <w:highlight w:val="none"/>
        </w:rPr>
      </w:pPr>
      <w:r>
        <w:rPr>
          <w:rFonts w:hint="eastAsia" w:ascii="楷体" w:hAnsi="楷体" w:eastAsia="楷体" w:cs="宋体"/>
          <w:bCs/>
          <w:color w:val="auto"/>
          <w:szCs w:val="32"/>
          <w:highlight w:val="none"/>
        </w:rPr>
        <w:t>1.强化地方政府生态治理主体责任。</w:t>
      </w:r>
      <w:r>
        <w:rPr>
          <w:rFonts w:hint="eastAsia" w:ascii="仿宋" w:hAnsi="仿宋" w:eastAsia="仿宋"/>
          <w:color w:val="auto"/>
          <w:szCs w:val="32"/>
          <w:highlight w:val="none"/>
        </w:rPr>
        <w:t>落实</w:t>
      </w:r>
      <w:r>
        <w:rPr>
          <w:rFonts w:ascii="仿宋" w:hAnsi="仿宋" w:eastAsia="仿宋"/>
          <w:color w:val="auto"/>
          <w:szCs w:val="32"/>
          <w:highlight w:val="none"/>
        </w:rPr>
        <w:t>“</w:t>
      </w:r>
      <w:r>
        <w:rPr>
          <w:rFonts w:hint="eastAsia" w:ascii="仿宋" w:hAnsi="仿宋" w:eastAsia="仿宋"/>
          <w:color w:val="auto"/>
          <w:szCs w:val="32"/>
          <w:highlight w:val="none"/>
        </w:rPr>
        <w:t>中央统筹、省负总责、市县抓落实</w:t>
      </w:r>
      <w:r>
        <w:rPr>
          <w:rFonts w:ascii="仿宋" w:hAnsi="仿宋" w:eastAsia="仿宋"/>
          <w:color w:val="auto"/>
          <w:szCs w:val="32"/>
          <w:highlight w:val="none"/>
        </w:rPr>
        <w:t>”</w:t>
      </w:r>
      <w:r>
        <w:rPr>
          <w:rFonts w:hint="eastAsia" w:ascii="仿宋" w:hAnsi="仿宋" w:eastAsia="仿宋"/>
          <w:color w:val="auto"/>
          <w:szCs w:val="32"/>
          <w:highlight w:val="none"/>
        </w:rPr>
        <w:t>工作机制。全市各级党委、政府负责本辖区环境治理具体落实工作</w:t>
      </w:r>
      <w:r>
        <w:rPr>
          <w:rFonts w:ascii="仿宋" w:hAnsi="仿宋" w:eastAsia="仿宋"/>
          <w:color w:val="auto"/>
          <w:szCs w:val="32"/>
          <w:highlight w:val="none"/>
        </w:rPr>
        <w:t>,</w:t>
      </w:r>
      <w:r>
        <w:rPr>
          <w:rFonts w:hint="eastAsia" w:ascii="仿宋" w:hAnsi="仿宋" w:eastAsia="仿宋"/>
          <w:color w:val="auto"/>
          <w:szCs w:val="32"/>
          <w:highlight w:val="none"/>
        </w:rPr>
        <w:t>贯彻落实党中央、国务院及省委、省政府各项决策部署，统筹做好监管执法、市场规范、资金安排、宣传教育等工作。各相关部门要按照管发展、管行业、管生产必须管环保的要求，履行好本部门、本领域生态环境保护工作职责，合力提升生态环境保护工作水平。推动落实“党政同责”“一岗双责”，各级党委、政府负责主要领导是本辖区生态环境保护第一责任人，构建党委领导、政府主导、企业主体、社会组织和公众共同参与的工作格局。</w:t>
      </w:r>
      <w:r>
        <w:rPr>
          <w:rFonts w:hint="eastAsia" w:ascii="仿宋" w:hAnsi="仿宋" w:eastAsia="仿宋" w:cs="宋体"/>
          <w:color w:val="auto"/>
          <w:szCs w:val="32"/>
          <w:highlight w:val="none"/>
        </w:rPr>
        <w:t>加强目标责任评价考核，将生态环境保护约束性和预期性目标，纳入各级国民经济和社会发展规划、国土空间规划及相关专项规划，统筹推进落实。将生态环境保护工作融入经济社会发展全过程，建立抚顺市高质量发展综合绩效评价指标体系，制定考核办法，对重点单位考核结果进行公告并纳入社会信用记录系统。</w:t>
      </w:r>
    </w:p>
    <w:p>
      <w:pPr>
        <w:pStyle w:val="23"/>
        <w:spacing w:line="600" w:lineRule="exact"/>
        <w:ind w:firstLine="640"/>
        <w:rPr>
          <w:rFonts w:hint="eastAsia" w:ascii="仿宋" w:hAnsi="仿宋" w:eastAsia="仿宋" w:cs="宋体"/>
          <w:color w:val="auto"/>
          <w:szCs w:val="32"/>
          <w:highlight w:val="none"/>
        </w:rPr>
      </w:pPr>
      <w:r>
        <w:rPr>
          <w:rFonts w:hint="eastAsia" w:ascii="楷体" w:hAnsi="楷体" w:eastAsia="楷体" w:cs="宋体"/>
          <w:bCs/>
          <w:color w:val="auto"/>
          <w:szCs w:val="32"/>
          <w:highlight w:val="none"/>
        </w:rPr>
        <w:t>2.健全生态环境治理企业责任体系。</w:t>
      </w:r>
      <w:r>
        <w:rPr>
          <w:rFonts w:hint="eastAsia" w:ascii="仿宋" w:hAnsi="仿宋" w:eastAsia="仿宋" w:cs="宋体"/>
          <w:color w:val="auto"/>
          <w:szCs w:val="32"/>
          <w:highlight w:val="none"/>
        </w:rPr>
        <w:t>制定企业环保责任实施意见，开展企业环境信用等级评价，推动实施联合惩戒。落实排污企业和生态环境社会化服务机构黑名单制度，依法实施重点排污单位环境信息公开。推进排污许可和环评审批制度有效衔接，构建以排污许可证为核心的固定污染源“一证式”监管体系。</w:t>
      </w:r>
      <w:r>
        <w:rPr>
          <w:rFonts w:hint="eastAsia" w:ascii="仿宋" w:hAnsi="仿宋" w:eastAsia="仿宋" w:cs="宋体"/>
          <w:color w:val="auto"/>
          <w:szCs w:val="32"/>
          <w:highlight w:val="none"/>
          <w:lang w:val="en-US" w:eastAsia="zh-CN"/>
        </w:rPr>
        <w:t>推动总量控制、生态环境统计、生态环境监测、生态环境执法等管理制度衔接，构建以排污许可制为核心的固定污染源监管制度体系。</w:t>
      </w:r>
      <w:r>
        <w:rPr>
          <w:rFonts w:hint="eastAsia" w:ascii="仿宋" w:hAnsi="仿宋" w:eastAsia="仿宋" w:cs="宋体"/>
          <w:color w:val="auto"/>
          <w:szCs w:val="32"/>
          <w:highlight w:val="none"/>
        </w:rPr>
        <w:t>落实排污许可证制度，开展排污许可证和登记质量“回头看”，实现发证企业复核“全覆盖”。</w:t>
      </w:r>
    </w:p>
    <w:p>
      <w:pPr>
        <w:pStyle w:val="23"/>
        <w:spacing w:line="600" w:lineRule="exact"/>
        <w:ind w:firstLine="640"/>
        <w:rPr>
          <w:rFonts w:ascii="仿宋" w:hAnsi="仿宋" w:eastAsia="仿宋" w:cs="宋体"/>
          <w:color w:val="auto"/>
          <w:szCs w:val="32"/>
          <w:highlight w:val="none"/>
        </w:rPr>
      </w:pPr>
      <w:r>
        <w:rPr>
          <w:rFonts w:hint="eastAsia" w:ascii="楷体" w:hAnsi="楷体" w:eastAsia="楷体" w:cs="宋体"/>
          <w:bCs/>
          <w:color w:val="auto"/>
          <w:szCs w:val="32"/>
          <w:highlight w:val="none"/>
        </w:rPr>
        <w:t>3.建立和完善市场化机制。</w:t>
      </w:r>
      <w:r>
        <w:rPr>
          <w:rFonts w:hint="eastAsia" w:ascii="仿宋" w:hAnsi="仿宋" w:eastAsia="仿宋" w:cs="宋体"/>
          <w:color w:val="auto"/>
          <w:szCs w:val="32"/>
          <w:highlight w:val="none"/>
        </w:rPr>
        <w:t>鼓励在环境监测与风险评估、环境公用设施建设与运行、重点区域和重点行业污染防治、生态环境综合整治等领域推行第三方治理，制定第三方治理项目增值税即征即退政策，加大财政对第三方治理项目的补助和奖励力度。鼓励设立第三方治理项目引导基金，引导开展第三方治理试点，建立以效付费机制。健全用能权、排污权、碳排放权交易机制，创新有偿使用、预算管理、投融资等机制，培育和发展交易市场。积极与国家碳市场对接，将碳排放权转化为企业的绿色资产，夯实碳排放权质押融资的基础条件，降低企业投融资成本。制定激励性政策，鼓励企业积极参与碳交易，对于使用新能源或通过技术创新而节约碳排放权的企业，可以进行税收减免、信贷优先等。逐步建设和完善相应的政策法规以及对市场的监管、核查体系。</w:t>
      </w:r>
    </w:p>
    <w:p>
      <w:pPr>
        <w:pStyle w:val="23"/>
        <w:spacing w:line="600" w:lineRule="exact"/>
        <w:ind w:firstLine="640"/>
        <w:rPr>
          <w:rFonts w:ascii="仿宋" w:hAnsi="仿宋" w:eastAsia="仿宋" w:cs="宋体"/>
          <w:b/>
          <w:bCs/>
          <w:color w:val="auto"/>
          <w:szCs w:val="32"/>
          <w:highlight w:val="none"/>
        </w:rPr>
      </w:pPr>
      <w:r>
        <w:rPr>
          <w:rFonts w:hint="eastAsia" w:ascii="楷体" w:hAnsi="楷体" w:eastAsia="楷体" w:cs="宋体"/>
          <w:bCs/>
          <w:color w:val="auto"/>
          <w:szCs w:val="32"/>
          <w:highlight w:val="none"/>
        </w:rPr>
        <w:t>4.建立健全统计、监测和预警体系。</w:t>
      </w:r>
      <w:r>
        <w:rPr>
          <w:rFonts w:hint="eastAsia" w:ascii="仿宋" w:hAnsi="仿宋" w:eastAsia="仿宋" w:cs="宋体"/>
          <w:color w:val="auto"/>
          <w:szCs w:val="32"/>
          <w:highlight w:val="none"/>
        </w:rPr>
        <w:t>完善环境统计体系，补充调整工业、城镇生活、农业等重要污染源调查范围。建立健全能耗在线监测系统和污染源自动在线监测系统，重点用能单位能源消耗实现实时监测。强化企业污染物排放自行监测和环境信息公开，力争污染源自动监控数据有效传输率、企业自行监测结果公布率保持在90%以上，污染源监督性监测结果公布率保持在95%以上。定期公布各县区、重点行业、重点单位节能减排目标完成情况，发布预警信息，强化督促指导和帮扶。完善生态环境质量监测评价，鼓励引入第三方评估。加强重点减排工程调度管理，对环境质量改善达不到进度要求、重点减排工程建设滞后或运行不稳定、政策措施落实不到位的地区及时通报。</w:t>
      </w:r>
    </w:p>
    <w:p>
      <w:pPr>
        <w:pStyle w:val="23"/>
        <w:spacing w:line="600" w:lineRule="exact"/>
        <w:ind w:firstLine="640"/>
        <w:rPr>
          <w:rFonts w:ascii="仿宋" w:hAnsi="仿宋" w:eastAsia="仿宋" w:cs="宋体"/>
          <w:color w:val="auto"/>
          <w:szCs w:val="32"/>
          <w:highlight w:val="none"/>
        </w:rPr>
      </w:pPr>
      <w:r>
        <w:rPr>
          <w:rFonts w:hint="eastAsia" w:ascii="楷体" w:hAnsi="楷体" w:eastAsia="楷体" w:cs="宋体"/>
          <w:bCs/>
          <w:color w:val="auto"/>
          <w:szCs w:val="32"/>
          <w:highlight w:val="none"/>
        </w:rPr>
        <w:t>5.强化社会监督。</w:t>
      </w:r>
      <w:r>
        <w:rPr>
          <w:rFonts w:hint="eastAsia" w:ascii="仿宋" w:hAnsi="仿宋" w:eastAsia="仿宋" w:cs="宋体"/>
          <w:color w:val="auto"/>
          <w:szCs w:val="32"/>
          <w:highlight w:val="none"/>
        </w:rPr>
        <w:t>建立完善监督制度，从法律上确立监督权，使公众的环境知情权、表达权、参与权、监督权得到法律认可。建立信息公开和决策参与机制，明确公众参与规则和程序，推广公众监督员制度，把生态文明建设作为人大依法监督和政协民主监督重要内容，强化政治监督。建立健全环境公益诉讼制度，通过司法途径推动有利于绿色发展的公共政策转型。充分发挥各种媒体作用，报道先进典型、经验和做法，曝光违规用能和各种浪费行为。完善公众参与制度，及时准确披露各类环境信息，扩大公开范围，保障公众知情权，维护公众环境权益。依法实施环境公益诉讼制度，对污染环境、破坏生态的行为可依法提起公益诉讼。</w:t>
      </w:r>
    </w:p>
    <w:p>
      <w:pPr>
        <w:pStyle w:val="23"/>
        <w:spacing w:line="600" w:lineRule="exact"/>
        <w:ind w:firstLine="640"/>
        <w:rPr>
          <w:rFonts w:ascii="仿宋" w:hAnsi="仿宋" w:eastAsia="仿宋" w:cs="宋体"/>
          <w:color w:val="auto"/>
          <w:szCs w:val="32"/>
          <w:highlight w:val="none"/>
        </w:rPr>
      </w:pPr>
      <w:r>
        <w:rPr>
          <w:rFonts w:hint="eastAsia" w:ascii="楷体" w:hAnsi="楷体" w:eastAsia="楷体" w:cs="宋体"/>
          <w:bCs/>
          <w:color w:val="auto"/>
          <w:szCs w:val="32"/>
          <w:highlight w:val="none"/>
        </w:rPr>
        <w:t>6.倡导全民参与。</w:t>
      </w:r>
      <w:r>
        <w:rPr>
          <w:rFonts w:hint="eastAsia" w:ascii="仿宋" w:hAnsi="仿宋" w:eastAsia="仿宋" w:cs="宋体"/>
          <w:color w:val="auto"/>
          <w:szCs w:val="32"/>
          <w:highlight w:val="none"/>
        </w:rPr>
        <w:t>培育科学的生态文明观。加强生态文明宣传教育，开展节能宣传周活动、低碳日、世界环境日和节能减排全面行动，提高公众能源忧患意识、节约意识和环保意识，动员全民参与生态文明建设。</w:t>
      </w:r>
    </w:p>
    <w:p>
      <w:pPr>
        <w:pStyle w:val="23"/>
        <w:spacing w:line="600" w:lineRule="exact"/>
        <w:ind w:firstLine="643"/>
        <w:outlineLvl w:val="1"/>
        <w:rPr>
          <w:rFonts w:cs="宋体" w:asciiTheme="minorEastAsia" w:hAnsiTheme="minorEastAsia" w:eastAsiaTheme="minorEastAsia"/>
          <w:b/>
          <w:color w:val="auto"/>
          <w:szCs w:val="32"/>
          <w:highlight w:val="none"/>
        </w:rPr>
      </w:pPr>
      <w:bookmarkStart w:id="56" w:name="_Toc6268"/>
      <w:r>
        <w:rPr>
          <w:rFonts w:hint="eastAsia" w:asciiTheme="minorEastAsia" w:hAnsiTheme="minorEastAsia" w:eastAsiaTheme="minorEastAsia"/>
          <w:b/>
          <w:color w:val="auto"/>
          <w:highlight w:val="none"/>
        </w:rPr>
        <w:t>（四）健全环境治理法规政策体系</w:t>
      </w:r>
      <w:bookmarkEnd w:id="56"/>
    </w:p>
    <w:p>
      <w:pPr>
        <w:pStyle w:val="23"/>
        <w:spacing w:line="600" w:lineRule="exact"/>
        <w:ind w:firstLine="640"/>
        <w:rPr>
          <w:rFonts w:hint="eastAsia" w:ascii="仿宋" w:hAnsi="仿宋" w:eastAsia="仿宋" w:cs="宋体"/>
          <w:color w:val="auto"/>
          <w:szCs w:val="32"/>
          <w:highlight w:val="none"/>
        </w:rPr>
      </w:pPr>
      <w:r>
        <w:rPr>
          <w:rFonts w:hint="eastAsia" w:ascii="楷体" w:hAnsi="楷体" w:eastAsia="楷体" w:cs="宋体"/>
          <w:bCs/>
          <w:color w:val="auto"/>
          <w:szCs w:val="32"/>
          <w:highlight w:val="none"/>
        </w:rPr>
        <w:t>1.完善生态环境保护法治建设。</w:t>
      </w:r>
      <w:r>
        <w:rPr>
          <w:rFonts w:hint="eastAsia" w:ascii="仿宋" w:hAnsi="仿宋" w:eastAsia="仿宋" w:cs="宋体"/>
          <w:color w:val="auto"/>
          <w:szCs w:val="32"/>
          <w:highlight w:val="none"/>
        </w:rPr>
        <w:t>不断修改和完善与大气污染防治法、噪声污染防治法等法律法规相适应的地方性规章条例。制定碳排放交易规定，为实现“碳达峰”、“碳</w:t>
      </w:r>
      <w:r>
        <w:rPr>
          <w:rFonts w:hint="eastAsia" w:ascii="仿宋" w:hAnsi="仿宋" w:eastAsia="仿宋" w:cs="宋体"/>
          <w:color w:val="auto"/>
          <w:szCs w:val="32"/>
          <w:highlight w:val="none"/>
          <w:lang w:val="en-US" w:eastAsia="zh-CN"/>
        </w:rPr>
        <w:t>中和</w:t>
      </w:r>
      <w:r>
        <w:rPr>
          <w:rFonts w:hint="eastAsia" w:ascii="仿宋" w:hAnsi="仿宋" w:eastAsia="仿宋" w:cs="宋体"/>
          <w:color w:val="auto"/>
          <w:szCs w:val="32"/>
          <w:highlight w:val="none"/>
        </w:rPr>
        <w:t>”远景目标奠定基础。建立健全生态环境领域失信企业联合惩戒机制，认真落实信用制度建设、信用信息公示、“双随机”抽查检查等措施，建立生态环境公益诉讼检察与行政执法协作机制，强化行政执法与司法的有效衔接。</w:t>
      </w:r>
    </w:p>
    <w:p>
      <w:pPr>
        <w:pStyle w:val="23"/>
        <w:spacing w:line="600" w:lineRule="exact"/>
        <w:ind w:firstLine="640"/>
        <w:rPr>
          <w:rFonts w:ascii="仿宋" w:hAnsi="仿宋" w:eastAsia="仿宋" w:cs="宋体"/>
          <w:color w:val="auto"/>
          <w:szCs w:val="32"/>
          <w:highlight w:val="none"/>
        </w:rPr>
      </w:pPr>
      <w:r>
        <w:rPr>
          <w:rFonts w:hint="eastAsia" w:ascii="楷体" w:hAnsi="楷体" w:eastAsia="楷体" w:cs="宋体"/>
          <w:bCs/>
          <w:color w:val="auto"/>
          <w:szCs w:val="32"/>
          <w:highlight w:val="none"/>
        </w:rPr>
        <w:t>2.完善环保政策体系。</w:t>
      </w:r>
      <w:r>
        <w:rPr>
          <w:rFonts w:hint="eastAsia" w:ascii="仿宋" w:hAnsi="仿宋" w:eastAsia="仿宋" w:cs="宋体"/>
          <w:color w:val="auto"/>
          <w:szCs w:val="32"/>
          <w:highlight w:val="none"/>
        </w:rPr>
        <w:t>充分发挥绿色经济政策杠杆作用，积极落实绿色信贷、差别水价、差别电价等政策，实现资金投入与生态环境保护攻坚重点任务相匹配的目的。加快调整产业结构、技术创新、培育战略新型产业，落实绿色消费倒逼生产绿色化等方面的政策。落实企业所得税法关于从事污染防治企业的相关税收优惠政策，落实出台的“散乱污”企业综合治理激励政策，完善散煤清洁化替代的机制和优惠政策，出台非电热源进行热源分销改造的优惠政策和鼓励秸秆综合利用和有效控制秸秆焚烧的新政策。</w:t>
      </w:r>
    </w:p>
    <w:p>
      <w:pPr>
        <w:pStyle w:val="23"/>
        <w:spacing w:line="600" w:lineRule="exact"/>
        <w:ind w:firstLine="640"/>
        <w:rPr>
          <w:rFonts w:ascii="仿宋" w:hAnsi="仿宋" w:eastAsia="仿宋" w:cs="宋体"/>
          <w:color w:val="auto"/>
          <w:szCs w:val="32"/>
          <w:highlight w:val="none"/>
        </w:rPr>
      </w:pPr>
      <w:r>
        <w:rPr>
          <w:rFonts w:hint="eastAsia" w:ascii="楷体" w:hAnsi="楷体" w:eastAsia="楷体" w:cs="宋体"/>
          <w:bCs/>
          <w:color w:val="auto"/>
          <w:szCs w:val="32"/>
          <w:highlight w:val="none"/>
        </w:rPr>
        <w:t>3.完善价格收费政策。</w:t>
      </w:r>
      <w:r>
        <w:rPr>
          <w:rFonts w:hint="eastAsia" w:ascii="仿宋" w:hAnsi="仿宋" w:eastAsia="仿宋" w:cs="宋体"/>
          <w:color w:val="auto"/>
          <w:szCs w:val="32"/>
          <w:highlight w:val="none"/>
        </w:rPr>
        <w:t>加快资源环境价格改革，健全价格形成机制。督促落实差别电价和惩罚性电价政策，实行超定额用水累进加价制度。督促严格落实</w:t>
      </w:r>
      <w:r>
        <w:rPr>
          <w:rFonts w:hint="eastAsia" w:ascii="仿宋" w:hAnsi="仿宋" w:eastAsia="仿宋" w:cs="宋体"/>
          <w:color w:val="auto"/>
          <w:szCs w:val="32"/>
          <w:highlight w:val="none"/>
          <w:lang w:val="en-US" w:eastAsia="zh-CN"/>
        </w:rPr>
        <w:t>两高</w:t>
      </w:r>
      <w:r>
        <w:rPr>
          <w:rFonts w:hint="eastAsia" w:ascii="仿宋" w:hAnsi="仿宋" w:eastAsia="仿宋" w:cs="宋体"/>
          <w:color w:val="auto"/>
          <w:szCs w:val="32"/>
          <w:highlight w:val="none"/>
        </w:rPr>
        <w:t>行业阶梯电价政策，促进节能降耗。深化供热计量收费改革，完善脱硫、脱硝、除尘和超低排放环保电价政策，加强运行监管，严肃查处不执行环保电价政策的行为。鼓励制定差别化排污收费政策，研究扩大挥发性有机物排放行业排污费征收范围。实施环境保护费改税，推进开征环境保护税。落实污水处理费政策，完善排污权交易价格体系。加大垃圾处理费收缴力度，提高收缴率。</w:t>
      </w:r>
    </w:p>
    <w:p>
      <w:pPr>
        <w:pStyle w:val="23"/>
        <w:spacing w:line="600" w:lineRule="exact"/>
        <w:ind w:firstLine="640"/>
        <w:rPr>
          <w:rFonts w:hint="eastAsia" w:ascii="仿宋" w:hAnsi="仿宋" w:eastAsia="仿宋" w:cs="宋体"/>
          <w:color w:val="auto"/>
          <w:szCs w:val="32"/>
          <w:highlight w:val="none"/>
        </w:rPr>
      </w:pPr>
      <w:r>
        <w:rPr>
          <w:rFonts w:hint="eastAsia" w:ascii="楷体" w:hAnsi="楷体" w:eastAsia="楷体" w:cs="宋体"/>
          <w:bCs/>
          <w:color w:val="auto"/>
          <w:szCs w:val="32"/>
          <w:highlight w:val="none"/>
        </w:rPr>
        <w:t>4.完善财政税收激励政策。</w:t>
      </w:r>
      <w:r>
        <w:rPr>
          <w:rFonts w:hint="eastAsia" w:ascii="仿宋" w:hAnsi="仿宋" w:eastAsia="仿宋" w:cs="宋体"/>
          <w:color w:val="auto"/>
          <w:szCs w:val="32"/>
          <w:highlight w:val="none"/>
        </w:rPr>
        <w:t>加大对节能减排工作的资金支持力度，统筹安排相关专项资金，支持节能减排重点工程、能力建设和公益宣传。创新财政资金支持节能减排重点工程、项目的方式，发挥财政资金的杠杆作用。推广节能环保服务政府采购，推行政府绿色采购，完善节能环保产品政府强制采购和优先采购制度。支持节能减排的企业所得税、增值税等优惠政策，支持资源综合利用税收优惠政策。</w:t>
      </w:r>
    </w:p>
    <w:p>
      <w:pPr>
        <w:pStyle w:val="23"/>
        <w:spacing w:line="600" w:lineRule="exact"/>
        <w:ind w:firstLine="640"/>
        <w:rPr>
          <w:rFonts w:hint="eastAsia" w:ascii="仿宋" w:hAnsi="仿宋" w:eastAsia="仿宋" w:cs="宋体"/>
          <w:color w:val="auto"/>
          <w:szCs w:val="32"/>
          <w:highlight w:val="none"/>
        </w:rPr>
      </w:pPr>
      <w:r>
        <w:rPr>
          <w:rFonts w:hint="eastAsia" w:ascii="楷体" w:hAnsi="楷体" w:eastAsia="楷体" w:cs="宋体"/>
          <w:bCs/>
          <w:color w:val="auto"/>
          <w:szCs w:val="32"/>
          <w:highlight w:val="none"/>
          <w:lang w:val="en-US" w:eastAsia="zh-CN"/>
        </w:rPr>
        <w:t>5</w:t>
      </w:r>
      <w:r>
        <w:rPr>
          <w:rFonts w:hint="eastAsia" w:ascii="楷体" w:hAnsi="楷体" w:eastAsia="楷体" w:cs="宋体"/>
          <w:bCs/>
          <w:color w:val="auto"/>
          <w:szCs w:val="32"/>
          <w:highlight w:val="none"/>
        </w:rPr>
        <w:t>.健全绿色金融体系。</w:t>
      </w:r>
      <w:r>
        <w:rPr>
          <w:rFonts w:hint="eastAsia" w:ascii="仿宋" w:hAnsi="仿宋" w:eastAsia="仿宋" w:cs="宋体"/>
          <w:color w:val="auto"/>
          <w:szCs w:val="32"/>
          <w:highlight w:val="none"/>
        </w:rPr>
        <w:t>建立以财政资金为引导、以市场多元化资金为基础的生态文明建设和绿色发展投融资机制。丰富绿色金融产品，完善有关绿色信贷、绿色债券、绿色基金、绿色保险政策，完善相关配套政策支持体系，引导社会资金向绿色技术和绿色产业聚集。丰富绿色金融统计信息数据库，健全环境信息披露制度，优化绿色金融发展环境，明确和强化金融企业的环境责任，引导社会资金向绿色技术和绿色产业集聚，充分发挥金融服务绿色发展的作用。</w:t>
      </w:r>
    </w:p>
    <w:p>
      <w:pPr>
        <w:pStyle w:val="23"/>
        <w:spacing w:line="600" w:lineRule="exact"/>
        <w:ind w:firstLine="640"/>
        <w:rPr>
          <w:rFonts w:hint="default" w:ascii="仿宋" w:hAnsi="仿宋" w:eastAsia="仿宋" w:cs="宋体"/>
          <w:color w:val="auto"/>
          <w:szCs w:val="32"/>
          <w:highlight w:val="none"/>
          <w:lang w:val="en-US" w:eastAsia="zh-CN"/>
        </w:rPr>
      </w:pPr>
      <w:r>
        <w:rPr>
          <w:rFonts w:hint="eastAsia" w:ascii="楷体" w:hAnsi="楷体" w:eastAsia="楷体" w:cs="宋体"/>
          <w:bCs/>
          <w:color w:val="auto"/>
          <w:szCs w:val="32"/>
          <w:highlight w:val="none"/>
          <w:lang w:val="en-US" w:eastAsia="zh-CN"/>
        </w:rPr>
        <w:t>6</w:t>
      </w:r>
      <w:r>
        <w:rPr>
          <w:rFonts w:hint="eastAsia" w:ascii="楷体" w:hAnsi="楷体" w:eastAsia="楷体" w:cs="宋体"/>
          <w:bCs/>
          <w:color w:val="auto"/>
          <w:szCs w:val="32"/>
          <w:highlight w:val="none"/>
        </w:rPr>
        <w:t>.</w:t>
      </w:r>
      <w:r>
        <w:rPr>
          <w:rFonts w:hint="eastAsia" w:ascii="楷体" w:hAnsi="楷体" w:eastAsia="楷体" w:cs="宋体"/>
          <w:bCs/>
          <w:color w:val="auto"/>
          <w:szCs w:val="32"/>
          <w:highlight w:val="none"/>
          <w:lang w:val="en-US" w:eastAsia="zh-CN"/>
        </w:rPr>
        <w:t>积极争取上级资金政策支持</w:t>
      </w:r>
      <w:r>
        <w:rPr>
          <w:rFonts w:hint="eastAsia" w:ascii="楷体" w:hAnsi="楷体" w:eastAsia="楷体" w:cs="宋体"/>
          <w:bCs/>
          <w:color w:val="auto"/>
          <w:szCs w:val="32"/>
          <w:highlight w:val="none"/>
        </w:rPr>
        <w:t>。</w:t>
      </w:r>
      <w:r>
        <w:rPr>
          <w:rFonts w:hint="eastAsia" w:ascii="仿宋" w:hAnsi="仿宋" w:eastAsia="仿宋" w:cs="宋体"/>
          <w:color w:val="auto"/>
          <w:szCs w:val="32"/>
          <w:highlight w:val="none"/>
          <w:lang w:val="en-US" w:eastAsia="zh-CN"/>
        </w:rPr>
        <w:t>争取国家对抚顺重点生态功能区财政转移支付支持，争取大伙房水源保护地生态补偿政策、资金、指标、项目支持。</w:t>
      </w:r>
    </w:p>
    <w:p>
      <w:pPr>
        <w:pStyle w:val="23"/>
        <w:spacing w:line="600" w:lineRule="exact"/>
        <w:ind w:firstLine="643"/>
        <w:outlineLvl w:val="1"/>
        <w:rPr>
          <w:rFonts w:hint="default" w:asciiTheme="minorEastAsia" w:hAnsiTheme="minorEastAsia" w:eastAsiaTheme="minorEastAsia"/>
          <w:b/>
          <w:color w:val="auto"/>
          <w:highlight w:val="none"/>
          <w:lang w:val="en-US" w:eastAsia="zh-CN"/>
        </w:rPr>
      </w:pPr>
      <w:bookmarkStart w:id="57" w:name="_Toc19045"/>
      <w:r>
        <w:rPr>
          <w:rFonts w:hint="eastAsia" w:asciiTheme="minorEastAsia" w:hAnsiTheme="minorEastAsia" w:eastAsiaTheme="minorEastAsia"/>
          <w:b/>
          <w:color w:val="auto"/>
          <w:highlight w:val="none"/>
        </w:rPr>
        <w:t>（</w:t>
      </w:r>
      <w:r>
        <w:rPr>
          <w:rFonts w:hint="eastAsia" w:asciiTheme="minorEastAsia" w:hAnsiTheme="minorEastAsia" w:eastAsiaTheme="minorEastAsia"/>
          <w:b/>
          <w:color w:val="auto"/>
          <w:highlight w:val="none"/>
          <w:lang w:val="en-US" w:eastAsia="zh-CN"/>
        </w:rPr>
        <w:t>五</w:t>
      </w:r>
      <w:r>
        <w:rPr>
          <w:rFonts w:hint="eastAsia" w:asciiTheme="minorEastAsia" w:hAnsiTheme="minorEastAsia" w:eastAsiaTheme="minorEastAsia"/>
          <w:b/>
          <w:color w:val="auto"/>
          <w:highlight w:val="none"/>
        </w:rPr>
        <w:t>）</w:t>
      </w:r>
      <w:r>
        <w:rPr>
          <w:rFonts w:hint="eastAsia" w:asciiTheme="minorEastAsia" w:hAnsiTheme="minorEastAsia" w:eastAsiaTheme="minorEastAsia"/>
          <w:b/>
          <w:color w:val="auto"/>
          <w:highlight w:val="none"/>
          <w:lang w:val="en-US" w:eastAsia="zh-CN"/>
        </w:rPr>
        <w:t>加强生态环境保护科技研发</w:t>
      </w:r>
      <w:bookmarkEnd w:id="57"/>
    </w:p>
    <w:p>
      <w:pPr>
        <w:pStyle w:val="23"/>
        <w:spacing w:line="600" w:lineRule="exact"/>
        <w:ind w:firstLine="640"/>
        <w:rPr>
          <w:rFonts w:hint="eastAsia" w:ascii="仿宋" w:hAnsi="仿宋" w:eastAsia="仿宋" w:cs="宋体"/>
          <w:color w:val="auto"/>
          <w:szCs w:val="32"/>
          <w:highlight w:val="none"/>
          <w:lang w:val="en-US" w:eastAsia="zh-CN"/>
        </w:rPr>
      </w:pPr>
      <w:r>
        <w:rPr>
          <w:rFonts w:hint="eastAsia" w:ascii="楷体" w:hAnsi="楷体" w:eastAsia="楷体" w:cs="宋体"/>
          <w:bCs/>
          <w:color w:val="auto"/>
          <w:szCs w:val="32"/>
          <w:highlight w:val="none"/>
          <w:lang w:val="en-US" w:eastAsia="zh-CN"/>
        </w:rPr>
        <w:t>1</w:t>
      </w:r>
      <w:r>
        <w:rPr>
          <w:rFonts w:hint="eastAsia" w:ascii="楷体" w:hAnsi="楷体" w:eastAsia="楷体" w:cs="宋体"/>
          <w:bCs/>
          <w:color w:val="auto"/>
          <w:szCs w:val="32"/>
          <w:highlight w:val="none"/>
        </w:rPr>
        <w:t>.</w:t>
      </w:r>
      <w:r>
        <w:rPr>
          <w:rFonts w:hint="eastAsia" w:ascii="楷体" w:hAnsi="楷体" w:eastAsia="楷体" w:cs="宋体"/>
          <w:bCs/>
          <w:color w:val="auto"/>
          <w:szCs w:val="32"/>
          <w:highlight w:val="none"/>
          <w:lang w:val="en-US" w:eastAsia="zh-CN"/>
        </w:rPr>
        <w:t>开展重点领域技术研究</w:t>
      </w:r>
      <w:r>
        <w:rPr>
          <w:rFonts w:hint="eastAsia" w:ascii="楷体" w:hAnsi="楷体" w:eastAsia="楷体" w:cs="宋体"/>
          <w:bCs/>
          <w:color w:val="auto"/>
          <w:szCs w:val="32"/>
          <w:highlight w:val="none"/>
        </w:rPr>
        <w:t>。</w:t>
      </w:r>
      <w:r>
        <w:rPr>
          <w:rFonts w:hint="eastAsia" w:ascii="仿宋" w:hAnsi="仿宋" w:eastAsia="仿宋" w:cs="宋体"/>
          <w:color w:val="auto"/>
          <w:szCs w:val="32"/>
          <w:highlight w:val="none"/>
          <w:lang w:val="en-US" w:eastAsia="zh-CN"/>
        </w:rPr>
        <w:t>围绕碳达峰碳中和，清洁能源高效利用，采煤沉陷区综合治理、生态系统修复等绿色低碳领域，开展产、学、研、用技术研究，促进技术成果落地转化。加强遥感技术、人工智能、新型网络、人工智能、云计算等新技术在生态环境治理中的应用。</w:t>
      </w:r>
    </w:p>
    <w:p>
      <w:pPr>
        <w:pStyle w:val="23"/>
        <w:spacing w:line="600" w:lineRule="exact"/>
        <w:ind w:firstLine="640"/>
        <w:rPr>
          <w:rFonts w:hint="default" w:ascii="仿宋" w:hAnsi="仿宋" w:eastAsia="仿宋" w:cs="宋体"/>
          <w:color w:val="auto"/>
          <w:szCs w:val="32"/>
          <w:highlight w:val="none"/>
          <w:lang w:val="en-US" w:eastAsia="zh-CN"/>
        </w:rPr>
      </w:pPr>
      <w:r>
        <w:rPr>
          <w:rFonts w:hint="eastAsia" w:ascii="楷体" w:hAnsi="楷体" w:eastAsia="楷体" w:cs="宋体"/>
          <w:bCs/>
          <w:color w:val="auto"/>
          <w:szCs w:val="32"/>
          <w:highlight w:val="none"/>
          <w:lang w:val="en-US" w:eastAsia="zh-CN"/>
        </w:rPr>
        <w:t>2.重点开展大宗固废综合利用技术</w:t>
      </w:r>
      <w:r>
        <w:rPr>
          <w:rFonts w:hint="default" w:ascii="楷体" w:hAnsi="楷体" w:eastAsia="楷体" w:cs="宋体"/>
          <w:bCs/>
          <w:color w:val="auto"/>
          <w:szCs w:val="32"/>
          <w:highlight w:val="none"/>
          <w:lang w:val="en-US" w:eastAsia="zh-CN"/>
        </w:rPr>
        <w:t>研究</w:t>
      </w:r>
      <w:r>
        <w:rPr>
          <w:rFonts w:hint="eastAsia" w:ascii="楷体" w:hAnsi="楷体" w:eastAsia="楷体" w:cs="宋体"/>
          <w:bCs/>
          <w:color w:val="auto"/>
          <w:szCs w:val="32"/>
          <w:highlight w:val="none"/>
          <w:lang w:val="en-US" w:eastAsia="zh-CN"/>
        </w:rPr>
        <w:t>。</w:t>
      </w:r>
      <w:r>
        <w:rPr>
          <w:rFonts w:hint="eastAsia" w:ascii="仿宋" w:hAnsi="仿宋" w:eastAsia="仿宋" w:cs="宋体"/>
          <w:color w:val="auto"/>
          <w:szCs w:val="32"/>
          <w:highlight w:val="none"/>
          <w:lang w:val="en-US" w:eastAsia="zh-CN"/>
        </w:rPr>
        <w:t>依托抚矿集团抚顺固体废弃物产业技术研究院，积极开展煤矸石综合利用产业技术研究；依托辽宁亚太固体废弃物研究院，联合辽宁省沙地治理与利用研究所、辽宁省能源研究所有限公司等科研单位，集中力量突破煤矸石制砖、煤矸石土壤改良、煤矸石洗化等一批制约煤矸石综合利用产业发展的关键技术，推动一批科研成果就地转化；依托新型建材企业，围绕开发利用煤矸石制备绿色水泥、制备烧结砖、制备发泡陶瓷、制备无机保温材料等领域，不断加强先进技术的研究、拓宽招商引资范围、增大先进技术的推广力度。</w:t>
      </w:r>
    </w:p>
    <w:p>
      <w:pPr>
        <w:pStyle w:val="23"/>
        <w:spacing w:line="600" w:lineRule="exact"/>
        <w:ind w:firstLine="640"/>
        <w:rPr>
          <w:rFonts w:hint="default" w:ascii="仿宋" w:hAnsi="仿宋" w:eastAsia="仿宋" w:cs="宋体"/>
          <w:color w:val="auto"/>
          <w:szCs w:val="32"/>
          <w:highlight w:val="none"/>
          <w:lang w:val="en-US" w:eastAsia="zh-CN"/>
        </w:rPr>
      </w:pPr>
      <w:r>
        <w:rPr>
          <w:rFonts w:hint="eastAsia" w:ascii="楷体" w:hAnsi="楷体" w:eastAsia="楷体" w:cs="宋体"/>
          <w:bCs/>
          <w:color w:val="auto"/>
          <w:szCs w:val="32"/>
          <w:highlight w:val="none"/>
          <w:lang w:val="en-US" w:eastAsia="zh-CN"/>
        </w:rPr>
        <w:t>3.继续</w:t>
      </w:r>
      <w:r>
        <w:rPr>
          <w:rFonts w:hint="default" w:ascii="楷体" w:hAnsi="楷体" w:eastAsia="楷体" w:cs="宋体"/>
          <w:bCs/>
          <w:color w:val="auto"/>
          <w:szCs w:val="32"/>
          <w:highlight w:val="none"/>
          <w:lang w:val="en-US" w:eastAsia="zh-CN"/>
        </w:rPr>
        <w:t>强化基础性研究</w:t>
      </w:r>
      <w:r>
        <w:rPr>
          <w:rFonts w:hint="eastAsia" w:ascii="楷体" w:hAnsi="楷体" w:eastAsia="楷体" w:cs="宋体"/>
          <w:bCs/>
          <w:color w:val="auto"/>
          <w:szCs w:val="32"/>
          <w:highlight w:val="none"/>
          <w:lang w:val="en-US" w:eastAsia="zh-CN"/>
        </w:rPr>
        <w:t>。</w:t>
      </w:r>
      <w:r>
        <w:rPr>
          <w:rFonts w:hint="default" w:ascii="仿宋" w:hAnsi="仿宋" w:eastAsia="仿宋" w:cs="宋体"/>
          <w:color w:val="auto"/>
          <w:szCs w:val="32"/>
          <w:highlight w:val="none"/>
          <w:lang w:val="en-US" w:eastAsia="zh-CN"/>
        </w:rPr>
        <w:t>围绕治水、治气、治土、环境监测与环保产业、环境安全与应急保障等环保领域的科技需求，</w:t>
      </w:r>
      <w:r>
        <w:rPr>
          <w:rFonts w:hint="eastAsia" w:ascii="仿宋" w:hAnsi="仿宋" w:eastAsia="仿宋" w:cs="宋体"/>
          <w:color w:val="auto"/>
          <w:szCs w:val="32"/>
          <w:highlight w:val="none"/>
          <w:lang w:val="en-US" w:eastAsia="zh-CN"/>
        </w:rPr>
        <w:t>继续开展基础技术研究，制定</w:t>
      </w:r>
      <w:r>
        <w:rPr>
          <w:rFonts w:hint="default" w:ascii="仿宋" w:hAnsi="仿宋" w:eastAsia="仿宋" w:cs="宋体"/>
          <w:color w:val="auto"/>
          <w:szCs w:val="32"/>
          <w:highlight w:val="none"/>
          <w:lang w:val="en-US" w:eastAsia="zh-CN"/>
        </w:rPr>
        <w:t>地方环境标准的</w:t>
      </w:r>
      <w:r>
        <w:rPr>
          <w:rFonts w:hint="eastAsia" w:ascii="仿宋" w:hAnsi="仿宋" w:eastAsia="仿宋" w:cs="宋体"/>
          <w:color w:val="auto"/>
          <w:szCs w:val="32"/>
          <w:highlight w:val="none"/>
          <w:lang w:val="en-US" w:eastAsia="zh-CN"/>
        </w:rPr>
        <w:t>。</w:t>
      </w:r>
      <w:r>
        <w:rPr>
          <w:rFonts w:hint="default" w:ascii="仿宋" w:hAnsi="仿宋" w:eastAsia="仿宋" w:cs="宋体"/>
          <w:color w:val="auto"/>
          <w:szCs w:val="32"/>
          <w:highlight w:val="none"/>
          <w:lang w:val="en-US" w:eastAsia="zh-CN"/>
        </w:rPr>
        <w:t>建立环保科技项目库，加大科研投入，加快突破关键技术瓶颈。</w:t>
      </w:r>
    </w:p>
    <w:p>
      <w:pPr>
        <w:pStyle w:val="3"/>
        <w:spacing w:beforeAutospacing="0" w:afterAutospacing="0" w:line="1000" w:lineRule="exact"/>
        <w:ind w:firstLine="642" w:firstLineChars="200"/>
        <w:jc w:val="both"/>
        <w:rPr>
          <w:rFonts w:hint="default" w:ascii="黑体" w:hAnsi="黑体" w:eastAsia="黑体" w:cs="仿宋"/>
          <w:color w:val="auto"/>
          <w:sz w:val="32"/>
          <w:szCs w:val="32"/>
          <w:highlight w:val="none"/>
        </w:rPr>
      </w:pPr>
      <w:bookmarkStart w:id="58" w:name="_Toc5132"/>
      <w:bookmarkStart w:id="59" w:name="_Toc4404"/>
      <w:bookmarkStart w:id="60" w:name="_Toc12236"/>
      <w:bookmarkStart w:id="61" w:name="_Toc26416"/>
      <w:r>
        <w:rPr>
          <w:rFonts w:hint="eastAsia" w:ascii="黑体" w:hAnsi="黑体" w:eastAsia="黑体" w:cs="仿宋"/>
          <w:color w:val="auto"/>
          <w:sz w:val="32"/>
          <w:szCs w:val="32"/>
          <w:highlight w:val="none"/>
          <w:lang w:val="en-US" w:eastAsia="zh-CN"/>
        </w:rPr>
        <w:t>九</w:t>
      </w:r>
      <w:r>
        <w:rPr>
          <w:rFonts w:ascii="黑体" w:hAnsi="黑体" w:eastAsia="黑体" w:cs="仿宋"/>
          <w:color w:val="auto"/>
          <w:sz w:val="32"/>
          <w:szCs w:val="32"/>
          <w:highlight w:val="none"/>
        </w:rPr>
        <w:t>、保障措施</w:t>
      </w:r>
      <w:bookmarkEnd w:id="58"/>
      <w:bookmarkEnd w:id="59"/>
      <w:bookmarkEnd w:id="60"/>
      <w:bookmarkEnd w:id="61"/>
    </w:p>
    <w:p>
      <w:pPr>
        <w:spacing w:line="800" w:lineRule="exact"/>
        <w:ind w:firstLine="642" w:firstLineChars="200"/>
        <w:outlineLvl w:val="1"/>
        <w:rPr>
          <w:rFonts w:cs="宋体" w:asciiTheme="minorEastAsia" w:hAnsiTheme="minorEastAsia"/>
          <w:b/>
          <w:color w:val="auto"/>
          <w:sz w:val="32"/>
          <w:szCs w:val="32"/>
          <w:highlight w:val="none"/>
        </w:rPr>
      </w:pPr>
      <w:bookmarkStart w:id="62" w:name="_Toc19044"/>
      <w:r>
        <w:rPr>
          <w:rFonts w:hint="eastAsia" w:cs="宋体" w:asciiTheme="minorEastAsia" w:hAnsiTheme="minorEastAsia"/>
          <w:b/>
          <w:color w:val="auto"/>
          <w:sz w:val="32"/>
          <w:szCs w:val="32"/>
          <w:highlight w:val="none"/>
        </w:rPr>
        <w:t>（一）</w:t>
      </w:r>
      <w:r>
        <w:rPr>
          <w:rFonts w:hint="eastAsia" w:asciiTheme="minorEastAsia" w:hAnsiTheme="minorEastAsia"/>
          <w:b/>
          <w:color w:val="auto"/>
          <w:sz w:val="32"/>
          <w:szCs w:val="32"/>
          <w:highlight w:val="none"/>
        </w:rPr>
        <w:t>加强组织领导</w:t>
      </w:r>
      <w:bookmarkEnd w:id="62"/>
    </w:p>
    <w:p>
      <w:pPr>
        <w:pStyle w:val="23"/>
        <w:spacing w:line="600" w:lineRule="exact"/>
        <w:ind w:firstLine="640"/>
        <w:rPr>
          <w:rFonts w:ascii="仿宋" w:hAnsi="仿宋" w:eastAsia="仿宋" w:cs="宋体"/>
          <w:color w:val="auto"/>
          <w:szCs w:val="32"/>
          <w:highlight w:val="none"/>
        </w:rPr>
      </w:pPr>
      <w:r>
        <w:rPr>
          <w:rFonts w:hint="eastAsia" w:ascii="仿宋" w:hAnsi="仿宋" w:eastAsia="仿宋" w:cs="宋体"/>
          <w:color w:val="auto"/>
          <w:szCs w:val="32"/>
          <w:highlight w:val="none"/>
        </w:rPr>
        <w:t>各相关部门在市委和市政府的统一领导下，按照“十四五”生态环境保护规划的总体部署和安排，充分发挥主力军作用，履职尽责，全面完成生态环境保护目标任务。统筹做好监管执法、市场规范、资金安排、宣传教育等工作，改进和创新管理方式，加强部门间的横向交流和密切配合，形成工作合力。</w:t>
      </w:r>
    </w:p>
    <w:p>
      <w:pPr>
        <w:spacing w:line="800" w:lineRule="exact"/>
        <w:ind w:firstLine="642" w:firstLineChars="200"/>
        <w:outlineLvl w:val="1"/>
        <w:rPr>
          <w:rFonts w:cs="宋体" w:asciiTheme="minorEastAsia" w:hAnsiTheme="minorEastAsia"/>
          <w:b/>
          <w:color w:val="auto"/>
          <w:sz w:val="32"/>
          <w:szCs w:val="32"/>
          <w:highlight w:val="none"/>
        </w:rPr>
      </w:pPr>
      <w:bookmarkStart w:id="63" w:name="_Toc9639"/>
      <w:r>
        <w:rPr>
          <w:rFonts w:hint="eastAsia" w:cs="宋体" w:asciiTheme="minorEastAsia" w:hAnsiTheme="minorEastAsia"/>
          <w:b/>
          <w:color w:val="auto"/>
          <w:sz w:val="32"/>
          <w:szCs w:val="32"/>
          <w:highlight w:val="none"/>
        </w:rPr>
        <w:t>（二）</w:t>
      </w:r>
      <w:r>
        <w:rPr>
          <w:rFonts w:hint="eastAsia" w:asciiTheme="minorEastAsia" w:hAnsiTheme="minorEastAsia"/>
          <w:b/>
          <w:color w:val="auto"/>
          <w:sz w:val="32"/>
          <w:szCs w:val="32"/>
          <w:highlight w:val="none"/>
        </w:rPr>
        <w:t>强化规划落实</w:t>
      </w:r>
      <w:bookmarkEnd w:id="63"/>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规划实施过程中，</w:t>
      </w:r>
      <w:r>
        <w:rPr>
          <w:rFonts w:hint="eastAsia" w:ascii="仿宋" w:hAnsi="仿宋" w:eastAsia="仿宋"/>
          <w:bCs/>
          <w:color w:val="auto"/>
          <w:sz w:val="32"/>
          <w:szCs w:val="32"/>
          <w:highlight w:val="none"/>
        </w:rPr>
        <w:t>积极开展环境治理，</w:t>
      </w:r>
      <w:r>
        <w:rPr>
          <w:rFonts w:hint="eastAsia" w:ascii="仿宋" w:hAnsi="仿宋" w:eastAsia="仿宋"/>
          <w:color w:val="auto"/>
          <w:sz w:val="32"/>
          <w:szCs w:val="32"/>
          <w:highlight w:val="none"/>
        </w:rPr>
        <w:t>狠抓各项环境问题的落实</w:t>
      </w:r>
      <w:r>
        <w:rPr>
          <w:rFonts w:hint="eastAsia" w:ascii="仿宋" w:hAnsi="仿宋" w:eastAsia="仿宋"/>
          <w:bCs/>
          <w:color w:val="auto"/>
          <w:sz w:val="32"/>
          <w:szCs w:val="32"/>
          <w:highlight w:val="none"/>
        </w:rPr>
        <w:t>。以解决突出生态环境问题、改善生态环境质量、推动经济高质量发展为重点，</w:t>
      </w:r>
      <w:r>
        <w:rPr>
          <w:rFonts w:hint="eastAsia" w:ascii="仿宋" w:hAnsi="仿宋" w:eastAsia="仿宋"/>
          <w:color w:val="auto"/>
          <w:sz w:val="32"/>
          <w:szCs w:val="32"/>
          <w:highlight w:val="none"/>
        </w:rPr>
        <w:t>强化规划的引领和约束作用，依据规划谋划年度重点工作，优先实施规划中已经明确的项目，切实做到规划项目化、项目工程化，增强规划的执行力和约束力，确保规划目标实现。</w:t>
      </w:r>
    </w:p>
    <w:p>
      <w:pPr>
        <w:spacing w:line="800" w:lineRule="exact"/>
        <w:ind w:firstLine="642" w:firstLineChars="200"/>
        <w:outlineLvl w:val="1"/>
        <w:rPr>
          <w:rFonts w:cs="宋体" w:asciiTheme="minorEastAsia" w:hAnsiTheme="minorEastAsia"/>
          <w:b/>
          <w:color w:val="auto"/>
          <w:sz w:val="32"/>
          <w:szCs w:val="32"/>
          <w:highlight w:val="none"/>
        </w:rPr>
      </w:pPr>
      <w:bookmarkStart w:id="64" w:name="_Toc12394"/>
      <w:r>
        <w:rPr>
          <w:rFonts w:hint="eastAsia" w:cs="宋体" w:asciiTheme="minorEastAsia" w:hAnsiTheme="minorEastAsia"/>
          <w:b/>
          <w:color w:val="auto"/>
          <w:sz w:val="32"/>
          <w:szCs w:val="32"/>
          <w:highlight w:val="none"/>
        </w:rPr>
        <w:t>（三）</w:t>
      </w:r>
      <w:r>
        <w:rPr>
          <w:rFonts w:hint="eastAsia" w:asciiTheme="minorEastAsia" w:hAnsiTheme="minorEastAsia"/>
          <w:b/>
          <w:color w:val="auto"/>
          <w:sz w:val="32"/>
          <w:szCs w:val="32"/>
          <w:highlight w:val="none"/>
        </w:rPr>
        <w:t>加强执法监督</w:t>
      </w:r>
      <w:bookmarkEnd w:id="64"/>
    </w:p>
    <w:p>
      <w:pPr>
        <w:spacing w:line="600" w:lineRule="exact"/>
        <w:ind w:firstLine="640" w:firstLineChars="200"/>
        <w:rPr>
          <w:rFonts w:ascii="仿宋" w:hAnsi="仿宋" w:eastAsia="仿宋"/>
          <w:bCs/>
          <w:color w:val="auto"/>
          <w:sz w:val="32"/>
          <w:szCs w:val="32"/>
          <w:highlight w:val="none"/>
        </w:rPr>
      </w:pPr>
      <w:r>
        <w:rPr>
          <w:rFonts w:hint="eastAsia" w:ascii="仿宋" w:hAnsi="仿宋" w:eastAsia="仿宋"/>
          <w:bCs/>
          <w:color w:val="auto"/>
          <w:sz w:val="32"/>
          <w:szCs w:val="32"/>
          <w:highlight w:val="none"/>
        </w:rPr>
        <w:t>整合相关部门污染防治和生态环境保护执法职责、队伍，统一实行生态环境保护执法。深入推进生态环境机构监测监察执法垂直管理制度改革，实施</w:t>
      </w:r>
      <w:r>
        <w:rPr>
          <w:rFonts w:ascii="仿宋" w:hAnsi="仿宋" w:eastAsia="仿宋"/>
          <w:bCs/>
          <w:color w:val="auto"/>
          <w:sz w:val="32"/>
          <w:szCs w:val="32"/>
          <w:highlight w:val="none"/>
        </w:rPr>
        <w:t>“</w:t>
      </w:r>
      <w:r>
        <w:rPr>
          <w:rFonts w:hint="eastAsia" w:ascii="仿宋" w:hAnsi="仿宋" w:eastAsia="仿宋"/>
          <w:bCs/>
          <w:color w:val="auto"/>
          <w:sz w:val="32"/>
          <w:szCs w:val="32"/>
          <w:highlight w:val="none"/>
        </w:rPr>
        <w:t>双随机、一公开</w:t>
      </w:r>
      <w:r>
        <w:rPr>
          <w:rFonts w:ascii="仿宋" w:hAnsi="仿宋" w:eastAsia="仿宋"/>
          <w:bCs/>
          <w:color w:val="auto"/>
          <w:sz w:val="32"/>
          <w:szCs w:val="32"/>
          <w:highlight w:val="none"/>
        </w:rPr>
        <w:t>”</w:t>
      </w:r>
      <w:r>
        <w:rPr>
          <w:rFonts w:hint="eastAsia" w:ascii="仿宋" w:hAnsi="仿宋" w:eastAsia="仿宋"/>
          <w:bCs/>
          <w:color w:val="auto"/>
          <w:sz w:val="32"/>
          <w:szCs w:val="32"/>
          <w:highlight w:val="none"/>
        </w:rPr>
        <w:t>环境监管模式。强化跨区域跨流域污染防治联防联控，建立生态环境保护综合行政执法机关、公安机关、检察机关、审判机关信息共享、案情通报、案件移送制度。强化对破坏生态环境违法犯罪行为的查处侦办，加大对破坏生态环境案件起诉力度，加强检察机关提起生态环境公益诉讼工作。</w:t>
      </w:r>
    </w:p>
    <w:p>
      <w:pPr>
        <w:spacing w:line="600" w:lineRule="exact"/>
        <w:ind w:firstLine="640" w:firstLineChars="200"/>
        <w:jc w:val="left"/>
        <w:rPr>
          <w:rFonts w:ascii="仿宋" w:hAnsi="仿宋" w:eastAsia="仿宋"/>
          <w:bCs/>
          <w:color w:val="auto"/>
          <w:sz w:val="32"/>
          <w:szCs w:val="32"/>
          <w:highlight w:val="none"/>
        </w:rPr>
      </w:pPr>
      <w:r>
        <w:rPr>
          <w:rFonts w:hint="eastAsia" w:ascii="仿宋" w:hAnsi="仿宋" w:eastAsia="仿宋"/>
          <w:bCs/>
          <w:color w:val="auto"/>
          <w:sz w:val="32"/>
          <w:szCs w:val="32"/>
          <w:highlight w:val="none"/>
        </w:rPr>
        <w:t>强化监测能力建设，加快构建天地一体、上下协同、信息共享的生态环境监测网络，实现环境质量、污染源和生态状况监测全覆盖。实行</w:t>
      </w:r>
      <w:r>
        <w:rPr>
          <w:rFonts w:ascii="仿宋" w:hAnsi="仿宋" w:eastAsia="仿宋"/>
          <w:bCs/>
          <w:color w:val="auto"/>
          <w:sz w:val="32"/>
          <w:szCs w:val="32"/>
          <w:highlight w:val="none"/>
        </w:rPr>
        <w:t>“</w:t>
      </w:r>
      <w:r>
        <w:rPr>
          <w:rFonts w:hint="eastAsia" w:ascii="仿宋" w:hAnsi="仿宋" w:eastAsia="仿宋"/>
          <w:bCs/>
          <w:color w:val="auto"/>
          <w:sz w:val="32"/>
          <w:szCs w:val="32"/>
          <w:highlight w:val="none"/>
        </w:rPr>
        <w:t>谁考核、谁监测</w:t>
      </w:r>
      <w:r>
        <w:rPr>
          <w:rFonts w:ascii="仿宋" w:hAnsi="仿宋" w:eastAsia="仿宋"/>
          <w:bCs/>
          <w:color w:val="auto"/>
          <w:sz w:val="32"/>
          <w:szCs w:val="32"/>
          <w:highlight w:val="none"/>
        </w:rPr>
        <w:t>”</w:t>
      </w:r>
      <w:r>
        <w:rPr>
          <w:rFonts w:hint="eastAsia" w:ascii="仿宋" w:hAnsi="仿宋" w:eastAsia="仿宋"/>
          <w:bCs/>
          <w:color w:val="auto"/>
          <w:sz w:val="32"/>
          <w:szCs w:val="32"/>
          <w:highlight w:val="none"/>
        </w:rPr>
        <w:t>，不断完善生态环境监测技术体系，全面提高监测自动化、标准化、信息化水平，推动实现环境质量预报预警，确保监测数据</w:t>
      </w:r>
      <w:r>
        <w:rPr>
          <w:rFonts w:ascii="仿宋" w:hAnsi="仿宋" w:eastAsia="仿宋"/>
          <w:bCs/>
          <w:color w:val="auto"/>
          <w:sz w:val="32"/>
          <w:szCs w:val="32"/>
          <w:highlight w:val="none"/>
        </w:rPr>
        <w:t>“</w:t>
      </w:r>
      <w:r>
        <w:rPr>
          <w:rFonts w:hint="eastAsia" w:ascii="仿宋" w:hAnsi="仿宋" w:eastAsia="仿宋"/>
          <w:bCs/>
          <w:color w:val="auto"/>
          <w:sz w:val="32"/>
          <w:szCs w:val="32"/>
          <w:highlight w:val="none"/>
        </w:rPr>
        <w:t>真、准、全</w:t>
      </w:r>
      <w:r>
        <w:rPr>
          <w:rFonts w:ascii="仿宋" w:hAnsi="仿宋" w:eastAsia="仿宋"/>
          <w:bCs/>
          <w:color w:val="auto"/>
          <w:sz w:val="32"/>
          <w:szCs w:val="32"/>
          <w:highlight w:val="none"/>
        </w:rPr>
        <w:t>”</w:t>
      </w:r>
      <w:r>
        <w:rPr>
          <w:rFonts w:hint="eastAsia" w:ascii="仿宋" w:hAnsi="仿宋" w:eastAsia="仿宋"/>
          <w:bCs/>
          <w:color w:val="auto"/>
          <w:sz w:val="32"/>
          <w:szCs w:val="32"/>
          <w:highlight w:val="none"/>
        </w:rPr>
        <w:t>。推进信息化建设，形成生态环境数据一本台账、一张网络、一个窗口。加大监测技术装备研发与应用力度，推动监测装备精准、快速、便携化发展。</w:t>
      </w:r>
    </w:p>
    <w:p>
      <w:pPr>
        <w:spacing w:line="600" w:lineRule="exact"/>
        <w:ind w:firstLine="640" w:firstLineChars="200"/>
        <w:rPr>
          <w:rFonts w:ascii="仿宋" w:hAnsi="仿宋" w:eastAsia="仿宋"/>
          <w:bCs/>
          <w:color w:val="auto"/>
          <w:sz w:val="32"/>
          <w:szCs w:val="32"/>
          <w:highlight w:val="none"/>
        </w:rPr>
      </w:pPr>
      <w:r>
        <w:rPr>
          <w:rFonts w:hint="eastAsia" w:ascii="仿宋" w:hAnsi="仿宋" w:eastAsia="仿宋"/>
          <w:bCs/>
          <w:color w:val="auto"/>
          <w:sz w:val="32"/>
          <w:szCs w:val="32"/>
          <w:highlight w:val="none"/>
        </w:rPr>
        <w:t>完善企业环保信用评价制度，依据评价结果实施分级分类监管。建立排污企业黑名单制度，将环境违法企业依法依规纳入失信联合惩戒对象名单，将其违法信息记入信用记录，并按照国家有关规定纳入全国信用信息共享平台，依法向社会公开。</w:t>
      </w:r>
    </w:p>
    <w:p>
      <w:pPr>
        <w:spacing w:line="800" w:lineRule="exact"/>
        <w:ind w:firstLine="642" w:firstLineChars="200"/>
        <w:outlineLvl w:val="1"/>
        <w:rPr>
          <w:rFonts w:cs="宋体" w:asciiTheme="minorEastAsia" w:hAnsiTheme="minorEastAsia"/>
          <w:b/>
          <w:color w:val="auto"/>
          <w:sz w:val="32"/>
          <w:szCs w:val="32"/>
          <w:highlight w:val="none"/>
        </w:rPr>
      </w:pPr>
      <w:bookmarkStart w:id="65" w:name="_Toc8555"/>
      <w:r>
        <w:rPr>
          <w:rFonts w:hint="eastAsia" w:cs="宋体" w:asciiTheme="minorEastAsia" w:hAnsiTheme="minorEastAsia"/>
          <w:b/>
          <w:color w:val="auto"/>
          <w:sz w:val="32"/>
          <w:szCs w:val="32"/>
          <w:highlight w:val="none"/>
        </w:rPr>
        <w:t>（四）</w:t>
      </w:r>
      <w:r>
        <w:rPr>
          <w:rFonts w:hint="eastAsia" w:asciiTheme="minorEastAsia" w:hAnsiTheme="minorEastAsia"/>
          <w:b/>
          <w:color w:val="auto"/>
          <w:sz w:val="32"/>
          <w:szCs w:val="32"/>
          <w:highlight w:val="none"/>
        </w:rPr>
        <w:t>健全市场机制</w:t>
      </w:r>
      <w:bookmarkEnd w:id="65"/>
    </w:p>
    <w:p>
      <w:pPr>
        <w:spacing w:line="600" w:lineRule="exact"/>
        <w:ind w:firstLine="640" w:firstLineChars="200"/>
        <w:rPr>
          <w:rFonts w:ascii="仿宋" w:hAnsi="仿宋" w:eastAsia="仿宋"/>
          <w:bCs/>
          <w:color w:val="auto"/>
          <w:sz w:val="32"/>
          <w:szCs w:val="32"/>
          <w:highlight w:val="none"/>
        </w:rPr>
      </w:pPr>
      <w:r>
        <w:rPr>
          <w:rFonts w:hint="eastAsia" w:ascii="仿宋" w:hAnsi="仿宋" w:eastAsia="仿宋"/>
          <w:bCs/>
          <w:color w:val="auto"/>
          <w:sz w:val="32"/>
          <w:szCs w:val="32"/>
          <w:highlight w:val="none"/>
        </w:rPr>
        <w:t>深入推进</w:t>
      </w:r>
      <w:r>
        <w:rPr>
          <w:rFonts w:ascii="仿宋" w:hAnsi="仿宋" w:eastAsia="仿宋"/>
          <w:bCs/>
          <w:color w:val="auto"/>
          <w:sz w:val="32"/>
          <w:szCs w:val="32"/>
          <w:highlight w:val="none"/>
        </w:rPr>
        <w:t>“</w:t>
      </w:r>
      <w:r>
        <w:rPr>
          <w:rFonts w:hint="eastAsia" w:ascii="仿宋" w:hAnsi="仿宋" w:eastAsia="仿宋"/>
          <w:bCs/>
          <w:color w:val="auto"/>
          <w:sz w:val="32"/>
          <w:szCs w:val="32"/>
          <w:highlight w:val="none"/>
        </w:rPr>
        <w:t>放管服</w:t>
      </w:r>
      <w:r>
        <w:rPr>
          <w:rFonts w:ascii="仿宋" w:hAnsi="仿宋" w:eastAsia="仿宋"/>
          <w:bCs/>
          <w:color w:val="auto"/>
          <w:sz w:val="32"/>
          <w:szCs w:val="32"/>
          <w:highlight w:val="none"/>
        </w:rPr>
        <w:t>”</w:t>
      </w:r>
      <w:r>
        <w:rPr>
          <w:rFonts w:hint="eastAsia" w:ascii="仿宋" w:hAnsi="仿宋" w:eastAsia="仿宋"/>
          <w:bCs/>
          <w:color w:val="auto"/>
          <w:sz w:val="32"/>
          <w:szCs w:val="32"/>
          <w:highlight w:val="none"/>
        </w:rPr>
        <w:t>改革，打破地区、行业壁垒，平等对待各类市场主体，引导各类资本参与环境治理投资、建设、运行。规范市场秩序，积极推行环境污染第三方治理，开展园区污染防治第三方治理示范，探索“统一规划、统一监测、统一治理”的一体化服务模式。开展小城镇环境综合治理托管服务试点，强化系统治理，实行按效付费。对工业污染地块，鼓励采用</w:t>
      </w:r>
      <w:r>
        <w:rPr>
          <w:rFonts w:ascii="仿宋" w:hAnsi="仿宋" w:eastAsia="仿宋"/>
          <w:bCs/>
          <w:color w:val="auto"/>
          <w:sz w:val="32"/>
          <w:szCs w:val="32"/>
          <w:highlight w:val="none"/>
        </w:rPr>
        <w:t>“</w:t>
      </w:r>
      <w:r>
        <w:rPr>
          <w:rFonts w:hint="eastAsia" w:ascii="仿宋" w:hAnsi="仿宋" w:eastAsia="仿宋"/>
          <w:bCs/>
          <w:color w:val="auto"/>
          <w:sz w:val="32"/>
          <w:szCs w:val="32"/>
          <w:highlight w:val="none"/>
        </w:rPr>
        <w:t>环境修复＋开发建设</w:t>
      </w:r>
      <w:r>
        <w:rPr>
          <w:rFonts w:ascii="仿宋" w:hAnsi="仿宋" w:eastAsia="仿宋"/>
          <w:bCs/>
          <w:color w:val="auto"/>
          <w:sz w:val="32"/>
          <w:szCs w:val="32"/>
          <w:highlight w:val="none"/>
        </w:rPr>
        <w:t>”</w:t>
      </w:r>
      <w:r>
        <w:rPr>
          <w:rFonts w:hint="eastAsia" w:ascii="仿宋" w:hAnsi="仿宋" w:eastAsia="仿宋"/>
          <w:bCs/>
          <w:color w:val="auto"/>
          <w:sz w:val="32"/>
          <w:szCs w:val="32"/>
          <w:highlight w:val="none"/>
        </w:rPr>
        <w:t>模式。严格落实</w:t>
      </w:r>
      <w:r>
        <w:rPr>
          <w:rFonts w:ascii="仿宋" w:hAnsi="仿宋" w:eastAsia="仿宋"/>
          <w:bCs/>
          <w:color w:val="auto"/>
          <w:sz w:val="32"/>
          <w:szCs w:val="32"/>
          <w:highlight w:val="none"/>
        </w:rPr>
        <w:t>“</w:t>
      </w:r>
      <w:r>
        <w:rPr>
          <w:rFonts w:hint="eastAsia" w:ascii="仿宋" w:hAnsi="仿宋" w:eastAsia="仿宋"/>
          <w:bCs/>
          <w:color w:val="auto"/>
          <w:sz w:val="32"/>
          <w:szCs w:val="32"/>
          <w:highlight w:val="none"/>
        </w:rPr>
        <w:t>谁污染、谁付费</w:t>
      </w:r>
      <w:r>
        <w:rPr>
          <w:rFonts w:ascii="仿宋" w:hAnsi="仿宋" w:eastAsia="仿宋"/>
          <w:bCs/>
          <w:color w:val="auto"/>
          <w:sz w:val="32"/>
          <w:szCs w:val="32"/>
          <w:highlight w:val="none"/>
        </w:rPr>
        <w:t>”</w:t>
      </w:r>
      <w:r>
        <w:rPr>
          <w:rFonts w:hint="eastAsia" w:ascii="仿宋" w:hAnsi="仿宋" w:eastAsia="仿宋"/>
          <w:bCs/>
          <w:color w:val="auto"/>
          <w:sz w:val="32"/>
          <w:szCs w:val="32"/>
          <w:highlight w:val="none"/>
        </w:rPr>
        <w:t>政策导向，建立健全</w:t>
      </w:r>
      <w:r>
        <w:rPr>
          <w:rFonts w:ascii="仿宋" w:hAnsi="仿宋" w:eastAsia="仿宋"/>
          <w:bCs/>
          <w:color w:val="auto"/>
          <w:sz w:val="32"/>
          <w:szCs w:val="32"/>
          <w:highlight w:val="none"/>
        </w:rPr>
        <w:t>“</w:t>
      </w:r>
      <w:r>
        <w:rPr>
          <w:rFonts w:hint="eastAsia" w:ascii="仿宋" w:hAnsi="仿宋" w:eastAsia="仿宋"/>
          <w:bCs/>
          <w:color w:val="auto"/>
          <w:sz w:val="32"/>
          <w:szCs w:val="32"/>
          <w:highlight w:val="none"/>
        </w:rPr>
        <w:t>污染者付费＋第三方治理</w:t>
      </w:r>
      <w:r>
        <w:rPr>
          <w:rFonts w:ascii="仿宋" w:hAnsi="仿宋" w:eastAsia="仿宋"/>
          <w:bCs/>
          <w:color w:val="auto"/>
          <w:sz w:val="32"/>
          <w:szCs w:val="32"/>
          <w:highlight w:val="none"/>
        </w:rPr>
        <w:t>”</w:t>
      </w:r>
      <w:r>
        <w:rPr>
          <w:rFonts w:hint="eastAsia" w:ascii="仿宋" w:hAnsi="仿宋" w:eastAsia="仿宋"/>
          <w:bCs/>
          <w:color w:val="auto"/>
          <w:sz w:val="32"/>
          <w:szCs w:val="32"/>
          <w:highlight w:val="none"/>
        </w:rPr>
        <w:t>等机制。按照补偿处理成本并合理盈利原则，完善并落实污水垃圾处理收费政策。</w:t>
      </w:r>
    </w:p>
    <w:p>
      <w:pPr>
        <w:spacing w:line="800" w:lineRule="exact"/>
        <w:ind w:firstLine="642" w:firstLineChars="200"/>
        <w:outlineLvl w:val="1"/>
        <w:rPr>
          <w:rFonts w:cs="宋体" w:asciiTheme="minorEastAsia" w:hAnsiTheme="minorEastAsia"/>
          <w:b/>
          <w:color w:val="auto"/>
          <w:sz w:val="32"/>
          <w:szCs w:val="32"/>
          <w:highlight w:val="none"/>
        </w:rPr>
      </w:pPr>
      <w:bookmarkStart w:id="66" w:name="_Toc9661"/>
      <w:r>
        <w:rPr>
          <w:rFonts w:hint="eastAsia" w:cs="宋体" w:asciiTheme="minorEastAsia" w:hAnsiTheme="minorEastAsia"/>
          <w:b/>
          <w:color w:val="auto"/>
          <w:sz w:val="32"/>
          <w:szCs w:val="32"/>
          <w:highlight w:val="none"/>
        </w:rPr>
        <w:t>（五）</w:t>
      </w:r>
      <w:r>
        <w:rPr>
          <w:rFonts w:hint="eastAsia" w:asciiTheme="minorEastAsia" w:hAnsiTheme="minorEastAsia"/>
          <w:b/>
          <w:color w:val="auto"/>
          <w:sz w:val="32"/>
          <w:szCs w:val="32"/>
          <w:highlight w:val="none"/>
        </w:rPr>
        <w:t>拓宽融资渠道</w:t>
      </w:r>
      <w:bookmarkEnd w:id="66"/>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强化与上位规划的对接，积极争取国家及省专项资金支持。加大地方财政资金投入，发挥财政资金的引导和放大作用，出台支持政策。充分发挥市场在资源配置中的决定性作用和政府的调控引导作用。积极推广政府和社会资本合作(PPP)、政府购买服务、特许经营等模式，吸引社会资本广泛参与城市生态文明建设，建立政府与市场合理分工的生态文明城市建设投融资体制。</w:t>
      </w:r>
    </w:p>
    <w:p>
      <w:pPr>
        <w:spacing w:line="800" w:lineRule="exact"/>
        <w:ind w:firstLine="642" w:firstLineChars="200"/>
        <w:outlineLvl w:val="1"/>
        <w:rPr>
          <w:rFonts w:cs="宋体" w:asciiTheme="minorEastAsia" w:hAnsiTheme="minorEastAsia"/>
          <w:b/>
          <w:color w:val="auto"/>
          <w:sz w:val="32"/>
          <w:szCs w:val="32"/>
          <w:highlight w:val="none"/>
        </w:rPr>
      </w:pPr>
      <w:bookmarkStart w:id="67" w:name="_Toc12599"/>
      <w:r>
        <w:rPr>
          <w:rFonts w:hint="eastAsia" w:cs="宋体" w:asciiTheme="minorEastAsia" w:hAnsiTheme="minorEastAsia"/>
          <w:b/>
          <w:color w:val="auto"/>
          <w:sz w:val="32"/>
          <w:szCs w:val="32"/>
          <w:highlight w:val="none"/>
        </w:rPr>
        <w:t>（六）</w:t>
      </w:r>
      <w:r>
        <w:rPr>
          <w:rFonts w:hint="eastAsia" w:asciiTheme="minorEastAsia" w:hAnsiTheme="minorEastAsia"/>
          <w:b/>
          <w:color w:val="auto"/>
          <w:sz w:val="32"/>
          <w:szCs w:val="32"/>
          <w:highlight w:val="none"/>
        </w:rPr>
        <w:t>加强队伍建设</w:t>
      </w:r>
      <w:bookmarkEnd w:id="67"/>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强化党风廉政建设，严格落实党风廉政建设责任制，完善风险防控，推进廉政文化建设，继续深化工程建设领域突出问题等专项治理工作，强化行政监督，严肃监督执纪问责，始终保持惩治腐败高压态势。提升监测、监察和环境管理人员业务水平，加强基层环保执法力量，实行环境监管网格化，落实监管责任。以高层次人才及重点领域急需紧缺人才为重点，加强优秀拔尖人才、急需紧缺人才、科技创新人才和创新团队的建设与培养，实现生态环境队伍素质提升。全面开展环境监测、环境监察等专业业务培训，严格目标考核，努力建设规范化、标准化、专业化的生态环境保护人才队伍。</w:t>
      </w:r>
    </w:p>
    <w:p>
      <w:pPr>
        <w:spacing w:line="800" w:lineRule="exact"/>
        <w:ind w:firstLine="642" w:firstLineChars="200"/>
        <w:outlineLvl w:val="1"/>
        <w:rPr>
          <w:rFonts w:cs="宋体" w:asciiTheme="minorEastAsia" w:hAnsiTheme="minorEastAsia"/>
          <w:b/>
          <w:color w:val="auto"/>
          <w:sz w:val="32"/>
          <w:szCs w:val="32"/>
          <w:highlight w:val="none"/>
        </w:rPr>
      </w:pPr>
      <w:bookmarkStart w:id="68" w:name="_Toc10791"/>
      <w:r>
        <w:rPr>
          <w:rFonts w:hint="eastAsia" w:cs="宋体" w:asciiTheme="minorEastAsia" w:hAnsiTheme="minorEastAsia"/>
          <w:b/>
          <w:color w:val="auto"/>
          <w:sz w:val="32"/>
          <w:szCs w:val="32"/>
          <w:highlight w:val="none"/>
        </w:rPr>
        <w:t>（七）</w:t>
      </w:r>
      <w:r>
        <w:rPr>
          <w:rFonts w:hint="eastAsia" w:asciiTheme="minorEastAsia" w:hAnsiTheme="minorEastAsia"/>
          <w:b/>
          <w:color w:val="auto"/>
          <w:sz w:val="32"/>
          <w:szCs w:val="32"/>
          <w:highlight w:val="none"/>
        </w:rPr>
        <w:t>加大宣传教育</w:t>
      </w:r>
      <w:bookmarkEnd w:id="68"/>
    </w:p>
    <w:p>
      <w:pPr>
        <w:spacing w:line="600" w:lineRule="exact"/>
        <w:ind w:firstLine="640" w:firstLineChars="200"/>
        <w:rPr>
          <w:rFonts w:ascii="仿宋" w:hAnsi="仿宋" w:eastAsia="仿宋"/>
          <w:bCs/>
          <w:color w:val="auto"/>
          <w:sz w:val="32"/>
          <w:szCs w:val="32"/>
          <w:highlight w:val="none"/>
        </w:rPr>
      </w:pPr>
      <w:r>
        <w:rPr>
          <w:rFonts w:hint="eastAsia" w:ascii="仿宋" w:hAnsi="仿宋" w:eastAsia="仿宋"/>
          <w:bCs/>
          <w:color w:val="auto"/>
          <w:sz w:val="32"/>
          <w:szCs w:val="32"/>
          <w:highlight w:val="none"/>
        </w:rPr>
        <w:t>充分发挥</w:t>
      </w:r>
      <w:r>
        <w:rPr>
          <w:rFonts w:ascii="仿宋" w:hAnsi="仿宋" w:eastAsia="仿宋"/>
          <w:bCs/>
          <w:color w:val="auto"/>
          <w:sz w:val="32"/>
          <w:szCs w:val="32"/>
          <w:highlight w:val="none"/>
        </w:rPr>
        <w:t>“12369”</w:t>
      </w:r>
      <w:r>
        <w:rPr>
          <w:rFonts w:hint="eastAsia" w:ascii="仿宋" w:hAnsi="仿宋" w:eastAsia="仿宋"/>
          <w:bCs/>
          <w:color w:val="auto"/>
          <w:sz w:val="32"/>
          <w:szCs w:val="32"/>
          <w:highlight w:val="none"/>
        </w:rPr>
        <w:t>环保举报热线作用，畅通环保监督渠道。加强舆论监督，鼓励新闻媒体对各类破坏生态环境问题、突发环境事件、环境违法行为进行曝光。充分发挥新媒体作用，全方位开展环保宣传教育。引导具备资格的环保组织依法开展生态环境公益诉讼等活动。加强对社会组织的管理和指导，积极推进能力建设，大力发挥环保志愿者作用。提升全社会环保意识，加强舆论引导，引导公民自觉履行环境保护责任，积极开展垃圾分类，践行绿色生活方式，倡导绿色出行、绿色消费。提高公民环保素养，鼓励公众支持和参与生态环境保护。</w:t>
      </w:r>
    </w:p>
    <w:p>
      <w:pPr>
        <w:spacing w:line="600" w:lineRule="exac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附件：重点项目表</w:t>
      </w:r>
    </w:p>
    <w:p>
      <w:pPr>
        <w:pStyle w:val="2"/>
        <w:rPr>
          <w:rFonts w:hint="eastAsia" w:ascii="仿宋" w:hAnsi="仿宋" w:eastAsia="仿宋"/>
          <w:color w:val="auto"/>
          <w:sz w:val="32"/>
          <w:szCs w:val="32"/>
          <w:highlight w:val="none"/>
          <w:lang w:val="en-US" w:eastAsia="zh-CN"/>
        </w:rPr>
      </w:pPr>
    </w:p>
    <w:p>
      <w:pPr>
        <w:pStyle w:val="2"/>
        <w:rPr>
          <w:rFonts w:hint="eastAsia" w:ascii="仿宋" w:hAnsi="仿宋" w:eastAsia="仿宋"/>
          <w:color w:val="auto"/>
          <w:sz w:val="32"/>
          <w:szCs w:val="32"/>
          <w:highlight w:val="none"/>
          <w:lang w:val="en-US" w:eastAsia="zh-CN"/>
        </w:rPr>
      </w:pPr>
    </w:p>
    <w:p>
      <w:pPr>
        <w:pStyle w:val="2"/>
        <w:rPr>
          <w:rFonts w:hint="eastAsia" w:ascii="仿宋" w:hAnsi="仿宋" w:eastAsia="仿宋"/>
          <w:color w:val="auto"/>
          <w:sz w:val="32"/>
          <w:szCs w:val="32"/>
          <w:highlight w:val="none"/>
          <w:lang w:val="en-US" w:eastAsia="zh-CN"/>
        </w:rPr>
      </w:pPr>
    </w:p>
    <w:p>
      <w:pPr>
        <w:pStyle w:val="2"/>
        <w:rPr>
          <w:rFonts w:hint="eastAsia" w:ascii="仿宋" w:hAnsi="仿宋" w:eastAsia="仿宋"/>
          <w:color w:val="auto"/>
          <w:sz w:val="32"/>
          <w:szCs w:val="32"/>
          <w:highlight w:val="none"/>
          <w:lang w:val="en-US" w:eastAsia="zh-CN"/>
        </w:rPr>
      </w:pPr>
    </w:p>
    <w:p>
      <w:pPr>
        <w:pStyle w:val="2"/>
        <w:rPr>
          <w:rFonts w:hint="eastAsia" w:ascii="仿宋" w:hAnsi="仿宋" w:eastAsia="仿宋"/>
          <w:color w:val="auto"/>
          <w:sz w:val="32"/>
          <w:szCs w:val="32"/>
          <w:highlight w:val="none"/>
          <w:lang w:val="en-US" w:eastAsia="zh-CN"/>
        </w:rPr>
      </w:pPr>
    </w:p>
    <w:p>
      <w:pPr>
        <w:pStyle w:val="2"/>
        <w:rPr>
          <w:rFonts w:hint="eastAsia" w:ascii="仿宋" w:hAnsi="仿宋" w:eastAsia="仿宋"/>
          <w:color w:val="auto"/>
          <w:sz w:val="32"/>
          <w:szCs w:val="32"/>
          <w:highlight w:val="none"/>
          <w:lang w:val="en-US" w:eastAsia="zh-CN"/>
        </w:rPr>
      </w:pPr>
    </w:p>
    <w:p>
      <w:pPr>
        <w:pStyle w:val="2"/>
        <w:rPr>
          <w:rFonts w:hint="eastAsia" w:ascii="仿宋" w:hAnsi="仿宋" w:eastAsia="仿宋"/>
          <w:color w:val="auto"/>
          <w:sz w:val="32"/>
          <w:szCs w:val="32"/>
          <w:highlight w:val="none"/>
          <w:lang w:val="en-US" w:eastAsia="zh-CN"/>
        </w:rPr>
      </w:pPr>
    </w:p>
    <w:p>
      <w:pPr>
        <w:pStyle w:val="2"/>
        <w:ind w:left="0" w:leftChars="0" w:firstLine="0" w:firstLineChars="0"/>
        <w:rPr>
          <w:rFonts w:hint="eastAsia" w:ascii="仿宋" w:hAnsi="仿宋" w:eastAsia="仿宋"/>
          <w:color w:val="auto"/>
          <w:sz w:val="32"/>
          <w:szCs w:val="32"/>
          <w:highlight w:val="none"/>
          <w:lang w:val="en-US" w:eastAsia="zh-CN"/>
        </w:rPr>
        <w:sectPr>
          <w:footerReference r:id="rId3" w:type="default"/>
          <w:pgSz w:w="11906" w:h="16838"/>
          <w:pgMar w:top="1440" w:right="1800" w:bottom="1440" w:left="1800" w:header="708" w:footer="708" w:gutter="0"/>
          <w:pgBorders>
            <w:top w:val="none" w:sz="0" w:space="0"/>
            <w:left w:val="none" w:sz="0" w:space="0"/>
            <w:bottom w:val="none" w:sz="0" w:space="0"/>
            <w:right w:val="none" w:sz="0" w:space="0"/>
          </w:pgBorders>
          <w:pgNumType w:start="1"/>
          <w:cols w:space="708" w:num="1"/>
          <w:docGrid w:type="lines" w:linePitch="360" w:charSpace="0"/>
        </w:sectPr>
      </w:pPr>
    </w:p>
    <w:tbl>
      <w:tblPr>
        <w:tblStyle w:val="24"/>
        <w:tblW w:w="5303" w:type="pct"/>
        <w:tblInd w:w="-2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1"/>
        <w:gridCol w:w="3886"/>
        <w:gridCol w:w="7506"/>
        <w:gridCol w:w="1489"/>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序号</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sz w:val="28"/>
                <w:szCs w:val="28"/>
                <w:highlight w:val="none"/>
                <w:u w:val="none"/>
                <w:lang w:val="en-US" w:eastAsia="zh-CN"/>
              </w:rPr>
            </w:pPr>
            <w:r>
              <w:rPr>
                <w:rFonts w:hint="eastAsia" w:ascii="宋体" w:hAnsi="宋体" w:eastAsia="宋体" w:cs="宋体"/>
                <w:b/>
                <w:bCs/>
                <w:i w:val="0"/>
                <w:iCs w:val="0"/>
                <w:color w:val="auto"/>
                <w:sz w:val="28"/>
                <w:szCs w:val="28"/>
                <w:highlight w:val="none"/>
                <w:u w:val="none"/>
                <w:lang w:val="en-US" w:eastAsia="zh-CN"/>
              </w:rPr>
              <w:t>项目名称</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建设内容</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总投资额</w:t>
            </w:r>
            <w:r>
              <w:rPr>
                <w:rFonts w:hint="eastAsia" w:ascii="宋体" w:hAnsi="宋体" w:eastAsia="宋体" w:cs="宋体"/>
                <w:b/>
                <w:bCs/>
                <w:i w:val="0"/>
                <w:iCs w:val="0"/>
                <w:color w:val="auto"/>
                <w:kern w:val="0"/>
                <w:sz w:val="28"/>
                <w:szCs w:val="28"/>
                <w:highlight w:val="none"/>
                <w:u w:val="none"/>
                <w:lang w:val="en-US" w:eastAsia="zh-CN" w:bidi="ar"/>
              </w:rPr>
              <w:br w:type="textWrapping"/>
            </w:r>
            <w:r>
              <w:rPr>
                <w:rFonts w:hint="eastAsia" w:ascii="宋体" w:hAnsi="宋体" w:eastAsia="宋体" w:cs="宋体"/>
                <w:b/>
                <w:bCs/>
                <w:i w:val="0"/>
                <w:iCs w:val="0"/>
                <w:color w:val="auto"/>
                <w:kern w:val="0"/>
                <w:sz w:val="28"/>
                <w:szCs w:val="28"/>
                <w:highlight w:val="none"/>
                <w:u w:val="none"/>
                <w:lang w:val="en-US" w:eastAsia="zh-CN" w:bidi="ar"/>
              </w:rPr>
              <w:t>（万元）</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auto"/>
                <w:kern w:val="0"/>
                <w:sz w:val="28"/>
                <w:szCs w:val="28"/>
                <w:highlight w:val="none"/>
                <w:u w:val="none"/>
                <w:lang w:val="en-US" w:eastAsia="zh-CN" w:bidi="ar"/>
              </w:rPr>
            </w:pPr>
            <w:r>
              <w:rPr>
                <w:rFonts w:hint="eastAsia" w:ascii="宋体" w:hAnsi="宋体" w:eastAsia="宋体" w:cs="宋体"/>
                <w:b/>
                <w:bCs/>
                <w:i w:val="0"/>
                <w:iCs w:val="0"/>
                <w:color w:val="auto"/>
                <w:kern w:val="0"/>
                <w:sz w:val="28"/>
                <w:szCs w:val="28"/>
                <w:highlight w:val="none"/>
                <w:u w:val="none"/>
                <w:lang w:val="en-US" w:eastAsia="zh-CN" w:bidi="ar"/>
              </w:rPr>
              <w:t>责任主体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专栏1：深入推进大气环境治理重点项目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抚顺市城中村及城市周边区域散煤替代工程</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项目区域主要包括抚顺市城中村及城市周边区域，采用“光热+电”、“光热+天然气”、“煤改电”、“煤改气”四种方式，根据村民的实际情况进行自行选择。</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15600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城区政府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抚顺特钢节能减排改造项目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新建两台布袋除尘器用于一炼、二炼电炉及厂房除尘，排放浓度低于10毫克，建设总风量70万；一炼V2台D炉蒸汽抽真空改为机械泵抽真空，2021年完成一台，2022年完成一台。</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抚顺特钢有限责任公司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抚顺新钢铁有限责任公司3号烧结机脱硝改造工程</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建设SCR脱硝系统</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抚顺新钢铁有限责任公司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抚顺新钢铁有限责任公司4号烧结机脱硝改造工程</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对原有半干法脱硫进行改造，建设湿法脱硫+SCR脱硝系统</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抚顺新钢铁有限责任公司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抚顺新钢铁有限责任公司转炉节能环保升级改造项目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转炉节能环保升级改造项目，预计总投资16亿元左右，配套超低能力除尘费用1亿左右，淘汰小转炉，建设大转炉，并建设配套除尘设施，去年开始施工，2022年完成一座转炉建设，2023年完成一座转炉建设。</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r>
              <w:rPr>
                <w:rFonts w:hint="eastAsia" w:ascii="宋体" w:hAnsi="宋体" w:cs="宋体"/>
                <w:i w:val="0"/>
                <w:iCs w:val="0"/>
                <w:color w:val="auto"/>
                <w:kern w:val="0"/>
                <w:sz w:val="24"/>
                <w:szCs w:val="24"/>
                <w:highlight w:val="none"/>
                <w:u w:val="none"/>
                <w:lang w:val="en-US" w:eastAsia="zh-CN"/>
              </w:rPr>
              <w:t>60000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抚顺新钢铁有限责任公司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抚顺新钢铁有限责任公司原料场环保改造工程</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拟新建一个ECIA综合性环保原料场，配套内容包含受料设施（汽车受料和火车翻车机设施）、料场设施（ECIA料场）、混匀配料槽、喷吹煤筒仓、供料设施、辅助设施等部分、以及相关的通风除尘、供配电、给排水等设施。</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70000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抚顺新钢铁有限责任公司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大化国瑞有限公司炉窑改造项目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对该企业1台20室焙烧炉、1台34室焙烧炉、1组6台石墨化炉，即总共2台焙烧炉和1组石墨化炉进行除尘、脱硫、脱硝改造。</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大化国瑞有限公司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抚顺石化紧急放空气体隐患（一厂)</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1.30万吨/年酮苯脱蜡脱油装置：增加1台安全阀泄放沉降罐及配套工艺管道；增加配套电气仪表设施。</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2.40万吨/年酮苯脱蜡脱油装置：增加1台安全阀泄放沉降罐及配套工艺管道；增加配套电气仪表设施。</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3.老60万吨/年酮苯脱蜡装置：增加1台安全阀泄放沉降罐及配套工艺管道；增加配套电气仪表设施。</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896</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抚顺石化公司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6"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石油二厂污水处理场隔油池、酸性水罐VOCs治理改造工程</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1.污水场预处理单元新建一套蓄热式焚烧VOCs处理装置，废气处理能力20000m3/h。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2.新建污水场废气VOCs处理单元配套仪表室一座（包含PLC一套）和相关配电设施。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3.污水场隔油池、浮选池、沉砂池及三泥系统废气封闭收集设施及输送设备、管线。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4.污水场隔油池新增浮动收油装置16台和收油泵6台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5.酸性水罐顶经除臭后的气体送至硫磺尾气焚烧炉。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6.拆除净水车间恶臭气体处理中试装置。</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4467</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抚顺石化公司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石油二厂甲乙酮汽车火车VOCs治理</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1.改造2套甲乙酮汽车装车设施、新增1套油气收集系统，增设定量装车系统。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2.更换6套甲乙酮火车装车鹤管密封，新增1套油气收集系统。</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抚顺石化公司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石油二厂净水生化单位废气治理</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1.新建一套预处理+两段生物+深度吸附生化单元废气处理装置，废气处理能力50000m</w:t>
            </w:r>
            <w:r>
              <w:rPr>
                <w:rFonts w:hint="eastAsia" w:ascii="宋体" w:hAnsi="宋体" w:eastAsia="宋体" w:cs="宋体"/>
                <w:i w:val="0"/>
                <w:iCs w:val="0"/>
                <w:color w:val="auto"/>
                <w:kern w:val="0"/>
                <w:sz w:val="24"/>
                <w:szCs w:val="24"/>
                <w:highlight w:val="none"/>
                <w:u w:val="none"/>
                <w:vertAlign w:val="superscript"/>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2.污水处理场生化单元调节池、水解酸化池、A/O池及二沉池等原封闭系统的拆除及新建（约9450m</w:t>
            </w:r>
            <w:r>
              <w:rPr>
                <w:rFonts w:hint="eastAsia" w:ascii="宋体" w:hAnsi="宋体" w:eastAsia="宋体" w:cs="宋体"/>
                <w:i w:val="0"/>
                <w:iCs w:val="0"/>
                <w:color w:val="auto"/>
                <w:kern w:val="0"/>
                <w:sz w:val="24"/>
                <w:szCs w:val="24"/>
                <w:highlight w:val="none"/>
                <w:u w:val="none"/>
                <w:vertAlign w:val="superscript"/>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3.废气收集管线改造（玻璃钢管线约960m）</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2990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抚顺石化公司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石油二厂中转站原油装车VOCs治理</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1.拆除原有18套原油装车鹤管，更换18套带密封设施的顶装液下装车鹤管。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2.增设油气收集管道系统。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3.增设火车定量装车系统。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4.增设原油装火车油气回收设施。</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2818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抚顺石化公司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抚顺石化隔油池异味治理</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油二厂：蒸馏一车间隔油池、加氢联合车间隔油池、重油催化车间隔油池、蜡油催化车间隔油池、汽油加氢车间隔油池、硫酸车间隔油池、焦化车间隔油池等7处隔油池增设分散式净风设施。石油三厂：12处隔油池/污水池增设分散式净风设施。烯烃厂：乙烯污水池、含油污水池、乙烯污水井、常压罐区。污水池、火炬污水池增设分散式净风5套。乙烯厂：隔油池/污水池增设分散式净风3套。</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2299.58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抚顺石化公司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石油二厂储罐VOCs治理</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中转站车间、甲乙酮车间、汽油加氢车间和油品车间共49座内浮顶储罐更换浮盘及高效密封。</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5244</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抚顺石化公司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抚顺石化厂界自动检测治理</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1.厂界在线监测子站共30台。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2.2台激光雷达分别安装在东厂区烯烃厂和西厂区石油三厂。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3.4台气象仪由厂界监测子站设备提供。</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2689</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抚顺石化公司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抚顺石化在线监测数据上传隐患治理</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1.石油一厂1台工控机，3个数采仪及网线，正压通风防爆电器柜(含PLC)1台，电源及信号浪涌保护器1套等。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2.石油二厂3台工控机，13个数采仪及网线，正压通风防爆电器柜(含PLC)3台，电源及信号浪涌保护器1套等。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3.石油三厂2台工控机，6个数采仪及网线，正压通风防爆电器柜(含PLC)2台等。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4.洗化厂4台工控机，12个数采仪及网线，正压通风防爆电器柜(含PLC)4台，电源及信号浪涌保护器4套等。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5.烯烃厂3台工控机，15个数采仪及网线，正压通风防爆电器柜(含PLC)3台，电源及信号浪涌保护器1套等。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6.乙烯厂1台工控机，4个数采仪及网线，正压通风防爆电器柜(含PLC)1台，电源及信号浪涌保护器1套等。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7.腈纶厂污水1台工控机，6个数采仪及网线，正压通风防爆电器柜(含PLC)1台，电源及信号浪涌保护器1套等。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8.合洗厂污水总排口在线在线监测数据上传，需要1个数据采仪。</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987</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抚顺石化公司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烯烃厂丁苯橡胶异味综合治理项目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1.新增2套异味治理装置（208-VTU-120000A/B）。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2.新增100、400单元废水池废气收集系统。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3.新增2504、600单元废水池废气收集系统。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4.新增物料投加和卸放的废气收集系统。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5.新增202单元钾皂池、500单元混合槽废气收集系统。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6.新增凝聚工段散发的废气收集系统。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7.新增干燥箱排放的废气收集系统。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8.新增煤油密闭加药系统废气收集系统。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9.系统配套的电气、仪表的改造。</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16317</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抚顺石化公司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烯烃厂三聚装置废气收集处理项目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烯烃厂三聚废气采用进入低密装置地面火炬进行临时处理，留有去拟建的丁苯橡胶装置RCO焚烧炉接口。</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652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抚顺石化公司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19</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石油三厂储罐浮盘及密封隐患项目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台内浮顶储罐浮盘及密封进行更换，3台拱顶罐新增内浮顶及密封，使之符合相关规范和环保标准。2.对污油装车鹤管进行VOCs治理，将废气引入油品储罐及装卸VOCs装置。对原有1台上装汽车装车鹤管更换为密闭装车鹤管。3.储罐1001、1002、3000、航1、航2增设伺服液位计、单法兰液位计、高高液位、低低液位报警，储罐防腐。</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2950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抚顺石化公司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石油二厂洗槽站密闭蒸汽洗罐项目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石油二厂洗槽站增设密闭蒸汽洗罐车系统改造</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2272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抚顺石化公司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石油二厂航煤储运系统升级改造</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航煤储运系统储罐密封及浮盘改造（将原907与908储罐更换浮盘及密封，新建2台储罐911与912）</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2453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抚顺石化公司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专栏2：提升水生态环境重点项目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管网排查工作及建立GIS系统</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管网普查及建立污水设施</w:t>
            </w:r>
            <w:r>
              <w:rPr>
                <w:rStyle w:val="59"/>
                <w:color w:val="auto"/>
                <w:highlight w:val="none"/>
                <w:lang w:val="en-US" w:eastAsia="zh-CN" w:bidi="ar"/>
              </w:rPr>
              <w:t>GIS</w:t>
            </w:r>
            <w:r>
              <w:rPr>
                <w:rStyle w:val="60"/>
                <w:color w:val="auto"/>
                <w:highlight w:val="none"/>
                <w:lang w:val="en-US" w:eastAsia="zh-CN" w:bidi="ar"/>
              </w:rPr>
              <w:t>系统</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C00000"/>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望花区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城中村、老旧小区和城乡结合部生活污水集中收集处理设施</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城市共有城中村、老旧小区和城乡结合部生活污水集中收集处理设施空白区</w:t>
            </w:r>
            <w:r>
              <w:rPr>
                <w:rStyle w:val="59"/>
                <w:color w:val="auto"/>
                <w:highlight w:val="none"/>
                <w:lang w:val="en-US" w:eastAsia="zh-CN" w:bidi="ar"/>
              </w:rPr>
              <w:t>5</w:t>
            </w:r>
            <w:r>
              <w:rPr>
                <w:rStyle w:val="60"/>
                <w:color w:val="auto"/>
                <w:highlight w:val="none"/>
                <w:lang w:val="en-US" w:eastAsia="zh-CN" w:bidi="ar"/>
              </w:rPr>
              <w:t>处，分别为东洲区关口河、小甲帮、顺城区西葛村、英石村、望花区演武线，计划建设管网长度</w:t>
            </w:r>
            <w:r>
              <w:rPr>
                <w:rStyle w:val="59"/>
                <w:color w:val="auto"/>
                <w:highlight w:val="none"/>
                <w:lang w:val="en-US" w:eastAsia="zh-CN" w:bidi="ar"/>
              </w:rPr>
              <w:t>37.82</w:t>
            </w:r>
            <w:r>
              <w:rPr>
                <w:rStyle w:val="60"/>
                <w:color w:val="auto"/>
                <w:highlight w:val="none"/>
                <w:lang w:val="en-US" w:eastAsia="zh-CN" w:bidi="ar"/>
              </w:rPr>
              <w:t>公里。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3279</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望花区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清原镇垃圾填埋场提标改造工程</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对清原县垃圾填埋场进行提标改造。</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5693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清源镇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清原县红河水库水源地治理项目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清理库区底泥</w:t>
            </w:r>
            <w:r>
              <w:rPr>
                <w:rStyle w:val="59"/>
                <w:color w:val="auto"/>
                <w:highlight w:val="none"/>
                <w:lang w:val="en-US" w:eastAsia="zh-CN" w:bidi="ar"/>
              </w:rPr>
              <w:t>610</w:t>
            </w:r>
            <w:r>
              <w:rPr>
                <w:rStyle w:val="60"/>
                <w:color w:val="auto"/>
                <w:highlight w:val="none"/>
                <w:lang w:val="en-US" w:eastAsia="zh-CN" w:bidi="ar"/>
              </w:rPr>
              <w:t>万立方米。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清源镇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浑河南支（新宾县）水利提升工程</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浑河南支（新宾县）水利提升工程范围为苏子河新宾县和平橡胶坝至上夹河镇荒地村段，治理河道长度95.15km。工程布置主要为堤防工程、护岸工程穿堤（交叉）建筑物。其中堤防加固工程4处，总长6.313km；新建护岸工程12处，总长10.938km，包括干流8处，长度9.67km，支流4处，长度1.268km；穿堤建筑物4处，交叉建筑物11处。</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9304.62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新宾县水务局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新宾镇垃圾填埋场填埋区坝体加固及渗滤液全量化处理设备项目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对新宾镇垃圾填埋场填埋区坝体加固、加高改造，柴沟渗滤液全量化梳理设备。</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1275.0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新宾满族自治县城建投资有限公司（隶属新宾满族自治县住建局）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新宾镇雨污分流改造项目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对新宾镇内肇兴路、岗山路、兴京街、衍水街、启运路、苏水南路、青年路及北道街等八条主要道路进行雨污分流改造，新建污水管线16957吗，新建雨水管线467m。</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7750.0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新宾满族自治县城建投资有限公司（隶属新宾满族自治县住建局）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8</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榆树乡工业园区给水管网、排水管网、污水处理厂项目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给水管网铺设DN400*1800米、DN200*1700；污水管网圆形污水检查井，采用标准井D700mm井室的212座，1处过河套管：D426X8管长150m；DN400*2500米，DN300*1500米，开挖修复路面180000㎡；新建设污水处理厂建设规模1800m³/d。污水处理工艺采用A2/O+MBR生物处理。</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2636.9</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新宾满族自治县榆树乡人民政府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9</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新宾满族自治县富尔江东江沿国控断面围栏工程</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vertAlign w:val="baseline"/>
              </w:rPr>
            </w:pPr>
            <w:r>
              <w:rPr>
                <w:rFonts w:hint="eastAsia" w:ascii="宋体" w:hAnsi="宋体" w:eastAsia="宋体" w:cs="宋体"/>
                <w:i w:val="0"/>
                <w:iCs w:val="0"/>
                <w:color w:val="auto"/>
                <w:kern w:val="0"/>
                <w:sz w:val="24"/>
                <w:szCs w:val="24"/>
                <w:highlight w:val="none"/>
                <w:u w:val="none"/>
                <w:lang w:val="en-US" w:eastAsia="zh-CN" w:bidi="ar"/>
              </w:rPr>
              <w:t>国考断面东江沿河道两岸建设</w:t>
            </w:r>
            <w:r>
              <w:rPr>
                <w:rStyle w:val="62"/>
                <w:color w:val="auto"/>
                <w:highlight w:val="none"/>
                <w:lang w:val="en-US" w:eastAsia="zh-CN" w:bidi="ar"/>
              </w:rPr>
              <w:t>8</w:t>
            </w:r>
            <w:r>
              <w:rPr>
                <w:rStyle w:val="60"/>
                <w:color w:val="auto"/>
                <w:highlight w:val="none"/>
                <w:lang w:val="en-US" w:eastAsia="zh-CN" w:bidi="ar"/>
              </w:rPr>
              <w:t>公里高标准围栏工程。</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新宾生态分局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10</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抚顺县社河（腰堡水库-大伙房水库入河口段）河道治理工程</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治理长度</w:t>
            </w:r>
            <w:r>
              <w:rPr>
                <w:rStyle w:val="59"/>
                <w:color w:val="auto"/>
                <w:highlight w:val="none"/>
                <w:lang w:val="en-US" w:eastAsia="zh-CN" w:bidi="ar"/>
              </w:rPr>
              <w:t>21.2</w:t>
            </w:r>
            <w:r>
              <w:rPr>
                <w:rStyle w:val="60"/>
                <w:color w:val="auto"/>
                <w:highlight w:val="none"/>
                <w:lang w:val="en-US" w:eastAsia="zh-CN" w:bidi="ar"/>
              </w:rPr>
              <w:t>公里，工程防护，生物防护，河道清淤</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2939</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清原县清原镇污水处理厂扩能改造及管网改造工程</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新建处理规模1万m³/d的污水处理设施及配套管网等内容，新建配套污水管网3445米，清淤管线300米。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4798.7</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清源县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抚顺市东洲区青草沟污水集中处理设施项目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抚顺市东洲区青草沟污水集中处理设施项目占地面积约</w:t>
            </w:r>
            <w:r>
              <w:rPr>
                <w:rStyle w:val="59"/>
                <w:color w:val="auto"/>
                <w:highlight w:val="none"/>
                <w:lang w:val="en-US" w:eastAsia="zh-CN" w:bidi="ar"/>
              </w:rPr>
              <w:t>6939</w:t>
            </w:r>
            <w:r>
              <w:rPr>
                <w:rStyle w:val="60"/>
                <w:color w:val="auto"/>
                <w:highlight w:val="none"/>
                <w:lang w:val="en-US" w:eastAsia="zh-CN" w:bidi="ar"/>
              </w:rPr>
              <w:t>平方米，设计规模</w:t>
            </w:r>
            <w:r>
              <w:rPr>
                <w:rStyle w:val="59"/>
                <w:color w:val="auto"/>
                <w:highlight w:val="none"/>
                <w:lang w:val="en-US" w:eastAsia="zh-CN" w:bidi="ar"/>
              </w:rPr>
              <w:t>1500</w:t>
            </w:r>
            <w:r>
              <w:rPr>
                <w:rStyle w:val="60"/>
                <w:color w:val="auto"/>
                <w:highlight w:val="none"/>
                <w:lang w:val="en-US" w:eastAsia="zh-CN" w:bidi="ar"/>
              </w:rPr>
              <w:t>吨</w:t>
            </w:r>
            <w:r>
              <w:rPr>
                <w:rStyle w:val="59"/>
                <w:color w:val="auto"/>
                <w:highlight w:val="none"/>
                <w:lang w:val="en-US" w:eastAsia="zh-CN" w:bidi="ar"/>
              </w:rPr>
              <w:t>/</w:t>
            </w:r>
            <w:r>
              <w:rPr>
                <w:rStyle w:val="60"/>
                <w:color w:val="auto"/>
                <w:highlight w:val="none"/>
                <w:lang w:val="en-US" w:eastAsia="zh-CN" w:bidi="ar"/>
              </w:rPr>
              <w:t>天，采用</w:t>
            </w:r>
            <w:r>
              <w:rPr>
                <w:rStyle w:val="59"/>
                <w:color w:val="auto"/>
                <w:highlight w:val="none"/>
                <w:lang w:val="en-US" w:eastAsia="zh-CN" w:bidi="ar"/>
              </w:rPr>
              <w:t>1</w:t>
            </w:r>
            <w:r>
              <w:rPr>
                <w:rStyle w:val="60"/>
                <w:color w:val="auto"/>
                <w:highlight w:val="none"/>
                <w:lang w:val="en-US" w:eastAsia="zh-CN" w:bidi="ar"/>
              </w:rPr>
              <w:t>套一体化污水处理设备；配套一体化污水提升泵站</w:t>
            </w:r>
            <w:r>
              <w:rPr>
                <w:rStyle w:val="59"/>
                <w:color w:val="auto"/>
                <w:highlight w:val="none"/>
                <w:lang w:val="en-US" w:eastAsia="zh-CN" w:bidi="ar"/>
              </w:rPr>
              <w:t>1</w:t>
            </w:r>
            <w:r>
              <w:rPr>
                <w:rStyle w:val="60"/>
                <w:color w:val="auto"/>
                <w:highlight w:val="none"/>
                <w:lang w:val="en-US" w:eastAsia="zh-CN" w:bidi="ar"/>
              </w:rPr>
              <w:t>处，规模</w:t>
            </w:r>
            <w:r>
              <w:rPr>
                <w:rStyle w:val="59"/>
                <w:color w:val="auto"/>
                <w:highlight w:val="none"/>
                <w:lang w:val="en-US" w:eastAsia="zh-CN" w:bidi="ar"/>
              </w:rPr>
              <w:t>1200</w:t>
            </w:r>
            <w:r>
              <w:rPr>
                <w:rStyle w:val="60"/>
                <w:color w:val="auto"/>
                <w:highlight w:val="none"/>
                <w:lang w:val="en-US" w:eastAsia="zh-CN" w:bidi="ar"/>
              </w:rPr>
              <w:t>吨</w:t>
            </w:r>
            <w:r>
              <w:rPr>
                <w:rStyle w:val="59"/>
                <w:color w:val="auto"/>
                <w:highlight w:val="none"/>
                <w:lang w:val="en-US" w:eastAsia="zh-CN" w:bidi="ar"/>
              </w:rPr>
              <w:t>/</w:t>
            </w:r>
            <w:r>
              <w:rPr>
                <w:rStyle w:val="60"/>
                <w:color w:val="auto"/>
                <w:highlight w:val="none"/>
                <w:lang w:val="en-US" w:eastAsia="zh-CN" w:bidi="ar"/>
              </w:rPr>
              <w:t>天，进水及出水压力管线</w:t>
            </w:r>
            <w:r>
              <w:rPr>
                <w:rStyle w:val="59"/>
                <w:color w:val="auto"/>
                <w:highlight w:val="none"/>
                <w:lang w:val="en-US" w:eastAsia="zh-CN" w:bidi="ar"/>
              </w:rPr>
              <w:t>DN200PE4940</w:t>
            </w:r>
            <w:r>
              <w:rPr>
                <w:rStyle w:val="60"/>
                <w:color w:val="auto"/>
                <w:highlight w:val="none"/>
                <w:lang w:val="en-US" w:eastAsia="zh-CN" w:bidi="ar"/>
              </w:rPr>
              <w:t>米，</w:t>
            </w:r>
            <w:r>
              <w:rPr>
                <w:rStyle w:val="59"/>
                <w:color w:val="auto"/>
                <w:highlight w:val="none"/>
                <w:lang w:val="en-US" w:eastAsia="zh-CN" w:bidi="ar"/>
              </w:rPr>
              <w:t>DN400</w:t>
            </w:r>
            <w:r>
              <w:rPr>
                <w:rStyle w:val="60"/>
                <w:color w:val="auto"/>
                <w:highlight w:val="none"/>
                <w:lang w:val="en-US" w:eastAsia="zh-CN" w:bidi="ar"/>
              </w:rPr>
              <w:t>球墨铸铁排水管</w:t>
            </w:r>
            <w:r>
              <w:rPr>
                <w:rStyle w:val="59"/>
                <w:color w:val="auto"/>
                <w:highlight w:val="none"/>
                <w:lang w:val="en-US" w:eastAsia="zh-CN" w:bidi="ar"/>
              </w:rPr>
              <w:t>600</w:t>
            </w:r>
            <w:r>
              <w:rPr>
                <w:rStyle w:val="60"/>
                <w:color w:val="auto"/>
                <w:highlight w:val="none"/>
                <w:lang w:val="en-US" w:eastAsia="zh-CN" w:bidi="ar"/>
              </w:rPr>
              <w:t>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3282.72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东洲区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13</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演武生活垃圾填埋场渗滤液收集管线及收集池</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对垃圾渗滤液处理设施进行维护和升级改造</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望花区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14</w:t>
            </w:r>
          </w:p>
        </w:tc>
        <w:tc>
          <w:tcPr>
            <w:tcW w:w="1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新宾满族自治县红升乡政府及医院污水处理设施项目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在红升乡政府新建防渗污水收集池，由吸污车定期转移，将原污水处理设备申请报废处理，将排污口封堵；对红升乡医院污水收集池拆除并新建污水收集池。</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新宾县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15</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新宾满族自治县上夹河镇、木奇镇、下夹河乡污水处理厂原址重建项目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宾满族自治县上夹河镇、木奇镇、下夹河乡污水处理厂原址重建（扩能提标改造）项目内容主要是采用A2O的工艺，并充分利用现有进水井、格栅、调节池、生化池等构筑物，最终出水水质达到《城镇污水处理厂污染物排放标准（GB18918-2002）》一级A标准。上夹河镇污水处理厂拆除原有风机间、加药间、设备间、转盘过滤间和仓库等，新建格栅间、缺氧池、好氧池、回流池、反应池、沉淀池、中间池、污泥池、消毒池、清水池、污泥脱水间、砂滤、巴氏槽。并在部分池体上部建设彩钢板房结构的设备间、配电间、风机间。木奇镇污水处理厂拆除部分人工湿地，保留湿地面积227.5m</w:t>
            </w:r>
            <w:r>
              <w:rPr>
                <w:rFonts w:hint="eastAsia" w:ascii="宋体" w:hAnsi="宋体" w:eastAsia="宋体" w:cs="宋体"/>
                <w:i w:val="0"/>
                <w:iCs w:val="0"/>
                <w:color w:val="auto"/>
                <w:kern w:val="0"/>
                <w:sz w:val="24"/>
                <w:szCs w:val="24"/>
                <w:highlight w:val="none"/>
                <w:u w:val="none"/>
                <w:vertAlign w:val="superscript"/>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类型为表流型。其余进水井、格栅、调节池、生化池等构筑物保留并充分利用。新建格栅间、缺氧池、好氧池、回流池、反应池、沉淀池、中间池、污泥池、消毒池、清水池、污泥脱水间、砂滤。并在部分池体上部建设彩钢板房结构的设备间、配电间、风机间。下夹河乡污水处理厂拆除原有风机间、加药间、设备间等，新建格栅间、缺氧池、好氧池、回流池、反应池、沉淀池、中间池、污泥池、消毒池、清水池、污泥脱水间、砂滤、巴氏槽。并在部分池体上部建设彩钢板房结构的设备间、配电间、风机间。</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新宾县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16</w:t>
            </w:r>
          </w:p>
        </w:tc>
        <w:tc>
          <w:tcPr>
            <w:tcW w:w="1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上夹河镇污水处理厂配套管网改造工程</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工程为上夹河镇污水处理厂配套管网改造工程，项目新建DN600污水管道1.8km（包含过河段80m），污水检查井45座，拆除原有DN600污水老旧破损管线1.8km及检查井45座。工程污水管线起点位于上夹河镇北侧，终点位于污水处理厂。</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451.29</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新宾满族自治县城建投资有限公司（隶属新宾满族自治县住建局）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17</w:t>
            </w:r>
          </w:p>
        </w:tc>
        <w:tc>
          <w:tcPr>
            <w:tcW w:w="1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辉发河流域（南山城段）水环境治理项目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建设湿地约</w:t>
            </w:r>
            <w:r>
              <w:rPr>
                <w:rStyle w:val="62"/>
                <w:color w:val="auto"/>
                <w:highlight w:val="none"/>
                <w:lang w:val="en-US" w:eastAsia="zh-CN" w:bidi="ar"/>
              </w:rPr>
              <w:t>8000</w:t>
            </w:r>
            <w:r>
              <w:rPr>
                <w:rStyle w:val="60"/>
                <w:color w:val="auto"/>
                <w:highlight w:val="none"/>
                <w:lang w:val="en-US" w:eastAsia="zh-CN" w:bidi="ar"/>
              </w:rPr>
              <w:t>平方米（准确方案待初步设计方案出来再定）、围栏</w:t>
            </w:r>
            <w:r>
              <w:rPr>
                <w:rStyle w:val="62"/>
                <w:color w:val="auto"/>
                <w:highlight w:val="none"/>
                <w:lang w:val="en-US" w:eastAsia="zh-CN" w:bidi="ar"/>
              </w:rPr>
              <w:t>1000m</w:t>
            </w:r>
            <w:r>
              <w:rPr>
                <w:rStyle w:val="60"/>
                <w:color w:val="auto"/>
                <w:highlight w:val="none"/>
                <w:lang w:val="en-US" w:eastAsia="zh-CN" w:bidi="ar"/>
              </w:rPr>
              <w:t>、生态隔离护坡</w:t>
            </w:r>
            <w:r>
              <w:rPr>
                <w:rStyle w:val="62"/>
                <w:color w:val="auto"/>
                <w:highlight w:val="none"/>
                <w:lang w:val="en-US" w:eastAsia="zh-CN" w:bidi="ar"/>
              </w:rPr>
              <w:t>500m</w:t>
            </w:r>
            <w:r>
              <w:rPr>
                <w:rStyle w:val="60"/>
                <w:color w:val="auto"/>
                <w:highlight w:val="none"/>
                <w:lang w:val="en-US" w:eastAsia="zh-CN" w:bidi="ar"/>
              </w:rPr>
              <w:t>以及湿地选址处土石方搬运、河道清淤等附属工程项目。</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549</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清源县南山城镇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18</w:t>
            </w:r>
          </w:p>
        </w:tc>
        <w:tc>
          <w:tcPr>
            <w:tcW w:w="1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抚顺市清原满族自治县县城管网及道路建设工程</w:t>
            </w:r>
          </w:p>
        </w:tc>
        <w:tc>
          <w:tcPr>
            <w:tcW w:w="2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原县老城区现状排水管线均为雨污合流制，经过多年使用，目前均已达到或超过设计使用年限，地下管线不同程度的出现渗漏，雨污水混流，这极大的增加了下游污水处理厂处理压力。随着城市的发展，房屋面积逐年增加，配套的供水、供暖管网不但达到设计使用年限，跑冒滴漏的情况逐年增多，而且整体管网平差、热平衡等均出现不同程度的偏差，急需统一进行综合改造。此项目的实施可以解决目前清原镇生活污水溢流入河问题，对于保护大伙房水源保护区上游河流水质具有积极意义。</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21613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清源县城乡建设服务中心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19</w:t>
            </w:r>
          </w:p>
        </w:tc>
        <w:tc>
          <w:tcPr>
            <w:tcW w:w="1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清原满族自治县生活垃圾卫生填埋场提标改造工程</w:t>
            </w:r>
          </w:p>
        </w:tc>
        <w:tc>
          <w:tcPr>
            <w:tcW w:w="2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执行国家关于环境保护的政策，符合国家的有关法规、规范和标准，与清原县总体规划和城镇发展战略方针相适应。2、结合清原县社会经济条件，坚持因地制宜，从当地实际出发，达到本工程项目的环境效益、社会效益和经济效益的统一。3、遵循垃圾无害化处理目标，满足国家垃圾处理污染控制的相关标准，最大限度地减轻和避免产生二次环境污染。此项目的实施可以有效处理清原镇垃圾填埋场渗滤液，消除对周边环境及水环境的不良影响和风险隐患。</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5693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清源县城乡建设服务中心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20</w:t>
            </w:r>
          </w:p>
        </w:tc>
        <w:tc>
          <w:tcPr>
            <w:tcW w:w="1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东洲区生活污水收集处理设施项目（一期）</w:t>
            </w:r>
          </w:p>
        </w:tc>
        <w:tc>
          <w:tcPr>
            <w:tcW w:w="2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该项目新建分流制污水管网34公里，新建污水泵站3座，预计收集污水量3.8万吨/日。计划分成4个排水分区，各分区的污水采用泵站提升，通过压力管道输送，最终全部汇入龙凤污水泵站。DN400管长15412米；DN600管长14805米；DN800管长6205米，部分路段铺设DN1000和DN1200管。计划新建万新、新屯、茨沟3座一体化泵站，日处理能力300吨/日。</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22743</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东洲区住建局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21</w:t>
            </w:r>
          </w:p>
        </w:tc>
        <w:tc>
          <w:tcPr>
            <w:tcW w:w="1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抚顺市污水设施改造建设项目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洲区关口河改造20420米；东洲区小甲邦改造1344米；顺城区西葛村、石英村改造10820米；望花区刘演线改造1240米；改造望花滩污水泵站及新建管道复线4000米；新建污水设施GIS系统；配套建设检查井、模块井、雨水口等设施，并对管网即查即改。</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抚顺市城建投资有限公司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专栏3：提升土壤环境重点项目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1.大伙房水源保护区土壤（地下水）污染调查与风险防控项目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项目工作范围包括两部分，其中应急风险管控工程的范围为大伙房水源二级保护区内，对4个无主地块的土壤应急风险管控工程，避免其污染物扩散到周边土壤和地下水，从而对大伙房水源产生影响；其次调查评估范围为大伙房水源保护区上游地区“南杂木-北三家”一线工矿企业周边地下水、地表水以及因大气沉降和地表水径流影响的土壤。大伙房水源保护区上游地区“南杂木-北三家”一线共存在工矿企业和尾矿库15个，调查范围将以15家企业的厂区边界为基准线向外辐射，调查总面积296.27km</w:t>
            </w:r>
            <w:r>
              <w:rPr>
                <w:rFonts w:hint="eastAsia" w:ascii="宋体" w:hAnsi="宋体" w:eastAsia="宋体" w:cs="宋体"/>
                <w:i w:val="0"/>
                <w:iCs w:val="0"/>
                <w:color w:val="auto"/>
                <w:kern w:val="0"/>
                <w:sz w:val="24"/>
                <w:szCs w:val="24"/>
                <w:highlight w:val="none"/>
                <w:u w:val="none"/>
                <w:vertAlign w:val="superscript"/>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（含山体），其中大气沉降影响区土壤调查面积211.14km</w:t>
            </w:r>
            <w:r>
              <w:rPr>
                <w:rFonts w:hint="eastAsia" w:ascii="宋体" w:hAnsi="宋体" w:eastAsia="宋体" w:cs="宋体"/>
                <w:i w:val="0"/>
                <w:iCs w:val="0"/>
                <w:color w:val="auto"/>
                <w:kern w:val="0"/>
                <w:sz w:val="24"/>
                <w:szCs w:val="24"/>
                <w:highlight w:val="none"/>
                <w:u w:val="none"/>
                <w:vertAlign w:val="superscript"/>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（含山体），浑河水影响区土壤调查面积85.13km</w:t>
            </w:r>
            <w:r>
              <w:rPr>
                <w:rFonts w:hint="eastAsia" w:ascii="宋体" w:hAnsi="宋体" w:eastAsia="宋体" w:cs="宋体"/>
                <w:i w:val="0"/>
                <w:iCs w:val="0"/>
                <w:color w:val="auto"/>
                <w:kern w:val="0"/>
                <w:sz w:val="24"/>
                <w:szCs w:val="24"/>
                <w:highlight w:val="none"/>
                <w:u w:val="none"/>
                <w:vertAlign w:val="superscript"/>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（含山体）。地表水调查长度为浑河（“南杂木-北三家一线”）42.793km，地下水调查范围为15家企业下游方向的地下水监测井。</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4982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yellow"/>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市生态环境局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专栏4：推进固体废物资源化利用重点项目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抚顺再生资源产业园危废资源化综合利用处置中心项目（二、三期）</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分三期建设。建设内容：焚烧厂区：焚烧及烧结车间（四层，每层2400㎡），内设焚烧生产线一条（一期）、烧结生产线一条（二期）；洗桶车间（2296㎡），内设清洗铁桶、塑料桶二条生产线（一期）：熔融烘干车间（2520㎡），内设烘干生产线二条（二期、三期分建）、熔融生产线二条（二期），金属提取车间及中间仓库（一层378㎡，其他三层1260㎡/层），内设金属提取设备（三期）；飞灰水洗车间（3024㎡），内设飞灰水洗设备及飞灰水洗废水处理装置（三期），物化及污水处理车间、配电室（2352㎡），内设污水处理设备（一期）；此外一期配套建设综合楼（3456㎡）、职工宿（3135㎡）、甲类仓库（702㎡）乙类仓库（1680㎡）丙类仓库（1092㎡）丁类仓库（3528㎡）、产品库房（2916㎡）；二期配套建设储罐区，包括2个醋酸丁酯储罐（有效容积15m³/个）、1个硫酸储罐（有效容积30m³）、1个盐酸储罐（有效容积30m³）、3个液碱储罐（1个有效容积30m³；2个有效容积2X40m³/个）等。本项目供暖采用余热锅炉，余热锅炉检修时采用天然气蒸汽锅炉（4t/h）供暖。危废填埋场区：危险废物填埋场（占地面积40000㎡；库容量24万㎡），地上式架空刚性填埋场结构，仅用于填埋本项目运营中自产危险废物，总填埋能力38万吨，979个单元格，服务年限19年，待焚烧厂区二期工程投产后建成。</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128000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辽宁博翔环保科技有限公司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辽宁特力环保科技有限公司30万吨/年废旧铅酸蓄电池及铅废物再生利用项目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规划用地面积105057平方米，建构筑物占地面积48814.05平方米，总建筑面积51728.63平方米。其中各建构筑物占地面积为：综合办公楼2489.36平方米，原料库房2986.56平方米，生产车间37298.1㎡，雨水及事故水收集池1196平方米，氧气站1078.55平方米，氧气罐区252平方米，氧气站及辅房216平方米，消防泵房76.84平方米，消防水池496.92平方米，公用工程间642.56平方米，变配电站816.52平方米，污水处理区428.64平方米，门卫一72平方米，危险品库房174平方米，汽车衡238平方米，汽车清洗区252平方米，二氧化碳站区100平方米。项目新建废铅酸蓄电池自动破碎装置、铅膏脱硫装置、硫酸钠洁净装置、转炉熔炼装置、收尘处理及水处理装置等共计914台/套设备。</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69000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辽宁特力环保科技有限公司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6万吨/年废润滑油加氢再生项目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主要建设内容包括6万吨/年加氢法再生基础油生产装置、1000NM3/h甲醇水蒸气裂解制氢装置、原料及产品储罐罐区以及配套的公用工程和辅助设施。</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15879</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辽宁新瑞环保实业有限公司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1万吨/年催化剂综合利用项目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主要建设内容包括催化剂脱油（硫化）装置1套、催化剂氢还原装置2套、催化剂除焦车间、催化剂成型及补加活性组分车间、催化剂活性金属回收车间、催化剂加氢活性评价实验场（包括小型评价装置20套、中试装置一套），配套的公用工程及部分附属设施依托6万吨/年废润滑油加氢再生项目。</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辽宁自然生态环保有限公司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8"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p>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废弃 SCR 催化剂金属氧化物回收</w:t>
            </w:r>
            <w:r>
              <w:rPr>
                <w:rFonts w:hint="default" w:ascii="宋体" w:hAnsi="宋体" w:eastAsia="宋体" w:cs="宋体"/>
                <w:b w:val="0"/>
                <w:bCs w:val="0"/>
                <w:i w:val="0"/>
                <w:iCs w:val="0"/>
                <w:color w:val="auto"/>
                <w:kern w:val="0"/>
                <w:sz w:val="24"/>
                <w:szCs w:val="24"/>
                <w:u w:val="none"/>
                <w:lang w:val="en-US" w:eastAsia="zh-CN" w:bidi="ar"/>
              </w:rPr>
              <w:t>项目</w:t>
            </w:r>
          </w:p>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u w:val="none"/>
                <w:lang w:val="en-US" w:eastAsia="zh-CN" w:bidi="ar"/>
              </w:rPr>
              <w:t>1座厂房（建筑面积</w:t>
            </w:r>
            <w:r>
              <w:rPr>
                <w:rFonts w:hint="default" w:ascii="宋体" w:hAnsi="宋体" w:eastAsia="宋体" w:cs="宋体"/>
                <w:b w:val="0"/>
                <w:bCs w:val="0"/>
                <w:i w:val="0"/>
                <w:iCs w:val="0"/>
                <w:color w:val="auto"/>
                <w:kern w:val="0"/>
                <w:sz w:val="24"/>
                <w:szCs w:val="24"/>
                <w:u w:val="none"/>
                <w:lang w:val="en-US" w:eastAsia="zh-CN" w:bidi="ar"/>
              </w:rPr>
              <w:t>8904m2</w:t>
            </w:r>
            <w:r>
              <w:rPr>
                <w:rFonts w:hint="eastAsia" w:ascii="宋体" w:hAnsi="宋体" w:eastAsia="宋体" w:cs="宋体"/>
                <w:b w:val="0"/>
                <w:bCs w:val="0"/>
                <w:i w:val="0"/>
                <w:iCs w:val="0"/>
                <w:color w:val="auto"/>
                <w:kern w:val="0"/>
                <w:sz w:val="24"/>
                <w:szCs w:val="24"/>
                <w:u w:val="none"/>
                <w:lang w:val="en-US" w:eastAsia="zh-CN" w:bidi="ar"/>
              </w:rPr>
              <w:t>）、</w:t>
            </w:r>
            <w:r>
              <w:rPr>
                <w:rFonts w:hint="default" w:ascii="宋体" w:hAnsi="宋体" w:eastAsia="宋体" w:cs="宋体"/>
                <w:b w:val="0"/>
                <w:bCs w:val="0"/>
                <w:i w:val="0"/>
                <w:iCs w:val="0"/>
                <w:color w:val="auto"/>
                <w:kern w:val="0"/>
                <w:sz w:val="24"/>
                <w:szCs w:val="24"/>
                <w:u w:val="none"/>
                <w:lang w:val="en-US" w:eastAsia="zh-CN" w:bidi="ar"/>
              </w:rPr>
              <w:t>2</w:t>
            </w:r>
            <w:r>
              <w:rPr>
                <w:rFonts w:hint="eastAsia" w:ascii="宋体" w:hAnsi="宋体" w:eastAsia="宋体" w:cs="宋体"/>
                <w:b w:val="0"/>
                <w:bCs w:val="0"/>
                <w:i w:val="0"/>
                <w:iCs w:val="0"/>
                <w:color w:val="auto"/>
                <w:kern w:val="0"/>
                <w:sz w:val="24"/>
                <w:szCs w:val="24"/>
                <w:u w:val="none"/>
                <w:lang w:val="en-US" w:eastAsia="zh-CN" w:bidi="ar"/>
              </w:rPr>
              <w:t>座库房（建筑面积</w:t>
            </w:r>
            <w:r>
              <w:rPr>
                <w:rFonts w:hint="default" w:ascii="宋体" w:hAnsi="宋体" w:eastAsia="宋体" w:cs="宋体"/>
                <w:b w:val="0"/>
                <w:bCs w:val="0"/>
                <w:i w:val="0"/>
                <w:iCs w:val="0"/>
                <w:color w:val="auto"/>
                <w:kern w:val="0"/>
                <w:sz w:val="24"/>
                <w:szCs w:val="24"/>
                <w:u w:val="none"/>
                <w:lang w:val="en-US" w:eastAsia="zh-CN" w:bidi="ar"/>
              </w:rPr>
              <w:t>2220.4m2</w:t>
            </w:r>
            <w:r>
              <w:rPr>
                <w:rFonts w:hint="eastAsia" w:ascii="宋体" w:hAnsi="宋体" w:eastAsia="宋体" w:cs="宋体"/>
                <w:b w:val="0"/>
                <w:bCs w:val="0"/>
                <w:i w:val="0"/>
                <w:iCs w:val="0"/>
                <w:color w:val="auto"/>
                <w:kern w:val="0"/>
                <w:sz w:val="24"/>
                <w:szCs w:val="24"/>
                <w:u w:val="none"/>
                <w:lang w:val="en-US" w:eastAsia="zh-CN" w:bidi="ar"/>
              </w:rPr>
              <w:t>）、</w:t>
            </w:r>
            <w:r>
              <w:rPr>
                <w:rFonts w:hint="default" w:ascii="宋体" w:hAnsi="宋体" w:eastAsia="宋体" w:cs="宋体"/>
                <w:b w:val="0"/>
                <w:bCs w:val="0"/>
                <w:i w:val="0"/>
                <w:iCs w:val="0"/>
                <w:color w:val="auto"/>
                <w:kern w:val="0"/>
                <w:sz w:val="24"/>
                <w:szCs w:val="24"/>
                <w:u w:val="none"/>
                <w:lang w:val="en-US" w:eastAsia="zh-CN" w:bidi="ar"/>
              </w:rPr>
              <w:t>1</w:t>
            </w:r>
            <w:r>
              <w:rPr>
                <w:rFonts w:hint="eastAsia" w:ascii="宋体" w:hAnsi="宋体" w:eastAsia="宋体" w:cs="宋体"/>
                <w:b w:val="0"/>
                <w:bCs w:val="0"/>
                <w:i w:val="0"/>
                <w:iCs w:val="0"/>
                <w:color w:val="auto"/>
                <w:kern w:val="0"/>
                <w:sz w:val="24"/>
                <w:szCs w:val="24"/>
                <w:u w:val="none"/>
                <w:lang w:val="en-US" w:eastAsia="zh-CN" w:bidi="ar"/>
              </w:rPr>
              <w:t>座综合楼（建筑面积</w:t>
            </w:r>
            <w:r>
              <w:rPr>
                <w:rFonts w:hint="default" w:ascii="宋体" w:hAnsi="宋体" w:eastAsia="宋体" w:cs="宋体"/>
                <w:b w:val="0"/>
                <w:bCs w:val="0"/>
                <w:i w:val="0"/>
                <w:iCs w:val="0"/>
                <w:color w:val="auto"/>
                <w:kern w:val="0"/>
                <w:sz w:val="24"/>
                <w:szCs w:val="24"/>
                <w:u w:val="none"/>
                <w:lang w:val="en-US" w:eastAsia="zh-CN" w:bidi="ar"/>
              </w:rPr>
              <w:t>240m2</w:t>
            </w:r>
            <w:r>
              <w:rPr>
                <w:rFonts w:hint="eastAsia" w:ascii="宋体" w:hAnsi="宋体" w:eastAsia="宋体" w:cs="宋体"/>
                <w:b w:val="0"/>
                <w:bCs w:val="0"/>
                <w:i w:val="0"/>
                <w:iCs w:val="0"/>
                <w:color w:val="auto"/>
                <w:kern w:val="0"/>
                <w:sz w:val="24"/>
                <w:szCs w:val="24"/>
                <w:u w:val="none"/>
                <w:lang w:val="en-US" w:eastAsia="zh-CN" w:bidi="ar"/>
              </w:rPr>
              <w:t>）、</w:t>
            </w:r>
            <w:r>
              <w:rPr>
                <w:rFonts w:hint="default" w:ascii="宋体" w:hAnsi="宋体" w:eastAsia="宋体" w:cs="宋体"/>
                <w:b w:val="0"/>
                <w:bCs w:val="0"/>
                <w:i w:val="0"/>
                <w:iCs w:val="0"/>
                <w:color w:val="auto"/>
                <w:kern w:val="0"/>
                <w:sz w:val="24"/>
                <w:szCs w:val="24"/>
                <w:u w:val="none"/>
                <w:lang w:val="en-US" w:eastAsia="zh-CN" w:bidi="ar"/>
              </w:rPr>
              <w:t>1</w:t>
            </w:r>
            <w:r>
              <w:rPr>
                <w:rFonts w:hint="eastAsia" w:ascii="宋体" w:hAnsi="宋体" w:eastAsia="宋体" w:cs="宋体"/>
                <w:b w:val="0"/>
                <w:bCs w:val="0"/>
                <w:i w:val="0"/>
                <w:iCs w:val="0"/>
                <w:color w:val="auto"/>
                <w:kern w:val="0"/>
                <w:sz w:val="24"/>
                <w:szCs w:val="24"/>
                <w:u w:val="none"/>
                <w:lang w:val="en-US" w:eastAsia="zh-CN" w:bidi="ar"/>
              </w:rPr>
              <w:t>个罐区（占地面积</w:t>
            </w:r>
            <w:r>
              <w:rPr>
                <w:rFonts w:hint="default" w:ascii="宋体" w:hAnsi="宋体" w:eastAsia="宋体" w:cs="宋体"/>
                <w:b w:val="0"/>
                <w:bCs w:val="0"/>
                <w:i w:val="0"/>
                <w:iCs w:val="0"/>
                <w:color w:val="auto"/>
                <w:kern w:val="0"/>
                <w:sz w:val="24"/>
                <w:szCs w:val="24"/>
                <w:u w:val="none"/>
                <w:lang w:val="en-US" w:eastAsia="zh-CN" w:bidi="ar"/>
              </w:rPr>
              <w:t>561.96m2</w:t>
            </w:r>
            <w:r>
              <w:rPr>
                <w:rFonts w:hint="eastAsia" w:ascii="宋体" w:hAnsi="宋体" w:eastAsia="宋体" w:cs="宋体"/>
                <w:b w:val="0"/>
                <w:bCs w:val="0"/>
                <w:i w:val="0"/>
                <w:iCs w:val="0"/>
                <w:color w:val="auto"/>
                <w:kern w:val="0"/>
                <w:sz w:val="24"/>
                <w:szCs w:val="24"/>
                <w:u w:val="none"/>
                <w:lang w:val="en-US" w:eastAsia="zh-CN" w:bidi="ar"/>
              </w:rPr>
              <w:t>）、</w:t>
            </w:r>
            <w:r>
              <w:rPr>
                <w:rFonts w:hint="default" w:ascii="宋体" w:hAnsi="宋体" w:eastAsia="宋体" w:cs="宋体"/>
                <w:b w:val="0"/>
                <w:bCs w:val="0"/>
                <w:i w:val="0"/>
                <w:iCs w:val="0"/>
                <w:color w:val="auto"/>
                <w:kern w:val="0"/>
                <w:sz w:val="24"/>
                <w:szCs w:val="24"/>
                <w:u w:val="none"/>
                <w:lang w:val="en-US" w:eastAsia="zh-CN" w:bidi="ar"/>
              </w:rPr>
              <w:t>1</w:t>
            </w:r>
            <w:r>
              <w:rPr>
                <w:rFonts w:hint="eastAsia" w:ascii="宋体" w:hAnsi="宋体" w:eastAsia="宋体" w:cs="宋体"/>
                <w:b w:val="0"/>
                <w:bCs w:val="0"/>
                <w:i w:val="0"/>
                <w:iCs w:val="0"/>
                <w:color w:val="auto"/>
                <w:kern w:val="0"/>
                <w:sz w:val="24"/>
                <w:szCs w:val="24"/>
                <w:u w:val="none"/>
                <w:lang w:val="en-US" w:eastAsia="zh-CN" w:bidi="ar"/>
              </w:rPr>
              <w:t>座污水处理站及其他配套用房等。本项目供暖采用</w:t>
            </w:r>
            <w:r>
              <w:rPr>
                <w:rFonts w:hint="default" w:ascii="宋体" w:hAnsi="宋体" w:eastAsia="宋体" w:cs="宋体"/>
                <w:b w:val="0"/>
                <w:bCs w:val="0"/>
                <w:i w:val="0"/>
                <w:iCs w:val="0"/>
                <w:color w:val="auto"/>
                <w:kern w:val="0"/>
                <w:sz w:val="24"/>
                <w:szCs w:val="24"/>
                <w:u w:val="none"/>
                <w:lang w:val="en-US" w:eastAsia="zh-CN" w:bidi="ar"/>
              </w:rPr>
              <w:t>2</w:t>
            </w:r>
            <w:r>
              <w:rPr>
                <w:rFonts w:hint="eastAsia" w:ascii="宋体" w:hAnsi="宋体" w:eastAsia="宋体" w:cs="宋体"/>
                <w:b w:val="0"/>
                <w:bCs w:val="0"/>
                <w:i w:val="0"/>
                <w:iCs w:val="0"/>
                <w:color w:val="auto"/>
                <w:kern w:val="0"/>
                <w:sz w:val="24"/>
                <w:szCs w:val="24"/>
                <w:u w:val="none"/>
                <w:lang w:val="en-US" w:eastAsia="zh-CN" w:bidi="ar"/>
              </w:rPr>
              <w:t>台</w:t>
            </w:r>
            <w:r>
              <w:rPr>
                <w:rFonts w:hint="default" w:ascii="宋体" w:hAnsi="宋体" w:eastAsia="宋体" w:cs="宋体"/>
                <w:b w:val="0"/>
                <w:bCs w:val="0"/>
                <w:i w:val="0"/>
                <w:iCs w:val="0"/>
                <w:color w:val="auto"/>
                <w:kern w:val="0"/>
                <w:sz w:val="24"/>
                <w:szCs w:val="24"/>
                <w:u w:val="none"/>
                <w:lang w:val="en-US" w:eastAsia="zh-CN" w:bidi="ar"/>
              </w:rPr>
              <w:t>4t/h</w:t>
            </w:r>
            <w:r>
              <w:rPr>
                <w:rFonts w:hint="eastAsia" w:ascii="宋体" w:hAnsi="宋体" w:eastAsia="宋体" w:cs="宋体"/>
                <w:b w:val="0"/>
                <w:bCs w:val="0"/>
                <w:i w:val="0"/>
                <w:iCs w:val="0"/>
                <w:color w:val="auto"/>
                <w:kern w:val="0"/>
                <w:sz w:val="24"/>
                <w:szCs w:val="24"/>
                <w:u w:val="none"/>
                <w:lang w:val="en-US" w:eastAsia="zh-CN" w:bidi="ar"/>
              </w:rPr>
              <w:t>（</w:t>
            </w:r>
            <w:r>
              <w:rPr>
                <w:rFonts w:hint="default" w:ascii="宋体" w:hAnsi="宋体" w:eastAsia="宋体" w:cs="宋体"/>
                <w:b w:val="0"/>
                <w:bCs w:val="0"/>
                <w:i w:val="0"/>
                <w:iCs w:val="0"/>
                <w:color w:val="auto"/>
                <w:kern w:val="0"/>
                <w:sz w:val="24"/>
                <w:szCs w:val="24"/>
                <w:u w:val="none"/>
                <w:lang w:val="en-US" w:eastAsia="zh-CN" w:bidi="ar"/>
              </w:rPr>
              <w:t>1</w:t>
            </w:r>
            <w:r>
              <w:rPr>
                <w:rFonts w:hint="eastAsia" w:ascii="宋体" w:hAnsi="宋体" w:eastAsia="宋体" w:cs="宋体"/>
                <w:b w:val="0"/>
                <w:bCs w:val="0"/>
                <w:i w:val="0"/>
                <w:iCs w:val="0"/>
                <w:color w:val="auto"/>
                <w:kern w:val="0"/>
                <w:sz w:val="24"/>
                <w:szCs w:val="24"/>
                <w:u w:val="none"/>
                <w:lang w:val="en-US" w:eastAsia="zh-CN" w:bidi="ar"/>
              </w:rPr>
              <w:t>用</w:t>
            </w:r>
            <w:r>
              <w:rPr>
                <w:rFonts w:hint="default" w:ascii="宋体" w:hAnsi="宋体" w:eastAsia="宋体" w:cs="宋体"/>
                <w:b w:val="0"/>
                <w:bCs w:val="0"/>
                <w:i w:val="0"/>
                <w:iCs w:val="0"/>
                <w:color w:val="auto"/>
                <w:kern w:val="0"/>
                <w:sz w:val="24"/>
                <w:szCs w:val="24"/>
                <w:u w:val="none"/>
                <w:lang w:val="en-US" w:eastAsia="zh-CN" w:bidi="ar"/>
              </w:rPr>
              <w:t>1</w:t>
            </w:r>
            <w:r>
              <w:rPr>
                <w:rFonts w:hint="eastAsia" w:ascii="宋体" w:hAnsi="宋体" w:eastAsia="宋体" w:cs="宋体"/>
                <w:b w:val="0"/>
                <w:bCs w:val="0"/>
                <w:i w:val="0"/>
                <w:iCs w:val="0"/>
                <w:color w:val="auto"/>
                <w:kern w:val="0"/>
                <w:sz w:val="24"/>
                <w:szCs w:val="24"/>
                <w:u w:val="none"/>
                <w:lang w:val="en-US" w:eastAsia="zh-CN" w:bidi="ar"/>
              </w:rPr>
              <w:t>备）燃气蒸汽锅炉。</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u w:val="none"/>
                <w:lang w:val="en-US" w:eastAsia="zh-CN" w:bidi="ar"/>
              </w:rPr>
              <w:t>14720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辽宁智优环保科技有限公司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抚顺兴科威化工有限公司年产50000吨冷喷油、提纯16000吨乙二醇残液项目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主要建筑物为：办公室、库房、守卫室、检斤房、配电间、消防泵房、导热油炉房等；主要构筑物包括：原料罐区、调和罐区、成品罐区、事故罐区、事故池、消防水池和乙二醇生产装置。</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抚顺兴科威化工有限公司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7</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抚顺市盛达工业产品综合利用有限公司危险废物综合利用项目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万吨/年煤矸石、10万吨/年废矿物油、10万吨/年废硫酸、10万吨/年废盐酸、5万吨/年废碱综合利用。一期项目占地46267.55平方米，建筑面积55400平方米，主要投资建设包括：办公楼、食堂、职工宿舍、生产车间、化验楼、原料储存区、成品库、罐区、总配电室、装卸台、厂区硬化、绿化等辅助工程。</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抚顺市盛达节能环保科技发展有限公司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专栏5：提升污水和垃圾收集处理能力重点项目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大伙房饮用水水源保护区苏子河流域配套工程--新宾县南杂木镇污水处理厂扩建工程</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一是，南杂木镇污水处理厂原处理能力3000m</w:t>
            </w:r>
            <w:r>
              <w:rPr>
                <w:rFonts w:hint="eastAsia" w:ascii="宋体" w:hAnsi="宋体" w:eastAsia="宋体" w:cs="宋体"/>
                <w:i w:val="0"/>
                <w:iCs w:val="0"/>
                <w:color w:val="auto"/>
                <w:kern w:val="0"/>
                <w:sz w:val="24"/>
                <w:szCs w:val="24"/>
                <w:highlight w:val="none"/>
                <w:u w:val="none"/>
                <w:vertAlign w:val="superscript"/>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/d能力污水处理设，将工艺改造为AAO；二是，新建处理能力为5000m</w:t>
            </w:r>
            <w:r>
              <w:rPr>
                <w:rFonts w:hint="eastAsia" w:ascii="宋体" w:hAnsi="宋体" w:eastAsia="宋体" w:cs="宋体"/>
                <w:i w:val="0"/>
                <w:iCs w:val="0"/>
                <w:color w:val="auto"/>
                <w:kern w:val="0"/>
                <w:sz w:val="24"/>
                <w:szCs w:val="24"/>
                <w:highlight w:val="none"/>
                <w:u w:val="none"/>
                <w:vertAlign w:val="superscript"/>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/d污水处理设施，工艺为AAO。三是，新建6000m</w:t>
            </w:r>
            <w:r>
              <w:rPr>
                <w:rFonts w:hint="eastAsia" w:ascii="宋体" w:hAnsi="宋体" w:eastAsia="宋体" w:cs="宋体"/>
                <w:i w:val="0"/>
                <w:iCs w:val="0"/>
                <w:color w:val="auto"/>
                <w:kern w:val="0"/>
                <w:sz w:val="24"/>
                <w:szCs w:val="24"/>
                <w:highlight w:val="none"/>
                <w:u w:val="none"/>
                <w:vertAlign w:val="superscript"/>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人工湿地，利用人工湿地工程对南杂木污水厂尾水进行深度净化处理，配套建设2500m</w:t>
            </w:r>
            <w:r>
              <w:rPr>
                <w:rFonts w:hint="eastAsia" w:ascii="宋体" w:hAnsi="宋体" w:eastAsia="宋体" w:cs="宋体"/>
                <w:i w:val="0"/>
                <w:iCs w:val="0"/>
                <w:color w:val="auto"/>
                <w:kern w:val="0"/>
                <w:sz w:val="24"/>
                <w:szCs w:val="24"/>
                <w:highlight w:val="none"/>
                <w:u w:val="none"/>
                <w:vertAlign w:val="superscript"/>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/一体化泵站及1700m尾水压力管线。</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5483.87</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新宾满族自治县城建投资有限公司（隶属新宾满族自治县住建局）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大伙房饮用水水源保护区苏子河流域配套工程--新宾县永陵镇污水处理厂扩建工程</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原有处理能力4000m</w:t>
            </w:r>
            <w:r>
              <w:rPr>
                <w:rStyle w:val="61"/>
                <w:color w:val="auto"/>
                <w:highlight w:val="none"/>
                <w:lang w:val="en-US" w:eastAsia="zh-CN" w:bidi="ar"/>
              </w:rPr>
              <w:t>3</w:t>
            </w:r>
            <w:r>
              <w:rPr>
                <w:rStyle w:val="60"/>
                <w:color w:val="auto"/>
                <w:highlight w:val="none"/>
                <w:lang w:val="en-US" w:eastAsia="zh-CN" w:bidi="ar"/>
              </w:rPr>
              <w:t>/d污水处理设施不变；新建处理力能6000m</w:t>
            </w:r>
            <w:r>
              <w:rPr>
                <w:rStyle w:val="61"/>
                <w:color w:val="auto"/>
                <w:highlight w:val="none"/>
                <w:lang w:val="en-US" w:eastAsia="zh-CN" w:bidi="ar"/>
              </w:rPr>
              <w:t>3</w:t>
            </w:r>
            <w:r>
              <w:rPr>
                <w:rStyle w:val="60"/>
                <w:color w:val="auto"/>
                <w:highlight w:val="none"/>
                <w:lang w:val="en-US" w:eastAsia="zh-CN" w:bidi="ar"/>
              </w:rPr>
              <w:t>/d污水处理设施，工艺为AAO，配套污水管线约2公里，管径DN800。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5623.55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新宾满族自治县城建投资有限公司（隶属新宾满族自治县住建局）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大伙房饮用水水源保护区苏子河流域配套工程--新宾镇污水处理厂扩建及管网改造工程</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一是，对原污水处理厂二级处理和三级处理进行改造，污水处理设计规模由1.5万吨/日调整为1.0万吨/日。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二是，新建日处理能力近期10000m3/d、远期20000m3/d污水处理设施及附属设施。工艺为AAO，配套污水管线约2公里，管径DN800.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8043.88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新宾县住建局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大伙房饮用水水源保护区苏子河流域配套工程--苏子河穆家拦河坝至入库口输水河道沿岸新建筑坝防护隔离工程(生态护岸）</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对大伙房饮用水源一级保护区苏子河穆家拦河坝至入库口输水河道新建生态护岸6745米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1676.2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新宾县住建局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专栏6：提升水源生态涵养基地环境质量重点项目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新宾县河道生态封育工程（2022年-2025年）</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新宾县苏子河封育面积</w:t>
            </w:r>
            <w:r>
              <w:rPr>
                <w:rStyle w:val="59"/>
                <w:color w:val="auto"/>
                <w:highlight w:val="none"/>
                <w:lang w:val="en-US" w:eastAsia="zh-CN" w:bidi="ar"/>
              </w:rPr>
              <w:t>1905.4</w:t>
            </w:r>
            <w:r>
              <w:rPr>
                <w:rStyle w:val="63"/>
                <w:color w:val="auto"/>
                <w:highlight w:val="none"/>
                <w:lang w:val="en-US" w:eastAsia="zh-CN" w:bidi="ar"/>
              </w:rPr>
              <w:t>亩，其中上夹河镇</w:t>
            </w:r>
            <w:r>
              <w:rPr>
                <w:rStyle w:val="59"/>
                <w:color w:val="auto"/>
                <w:highlight w:val="none"/>
                <w:lang w:val="en-US" w:eastAsia="zh-CN" w:bidi="ar"/>
              </w:rPr>
              <w:t>236.68</w:t>
            </w:r>
            <w:r>
              <w:rPr>
                <w:rStyle w:val="63"/>
                <w:color w:val="auto"/>
                <w:highlight w:val="none"/>
                <w:lang w:val="en-US" w:eastAsia="zh-CN" w:bidi="ar"/>
              </w:rPr>
              <w:t>亩，红升乡</w:t>
            </w:r>
            <w:r>
              <w:rPr>
                <w:rStyle w:val="59"/>
                <w:color w:val="auto"/>
                <w:highlight w:val="none"/>
                <w:lang w:val="en-US" w:eastAsia="zh-CN" w:bidi="ar"/>
              </w:rPr>
              <w:t>1668.2</w:t>
            </w:r>
            <w:r>
              <w:rPr>
                <w:rStyle w:val="63"/>
                <w:color w:val="auto"/>
                <w:highlight w:val="none"/>
                <w:lang w:val="en-US" w:eastAsia="zh-CN" w:bidi="ar"/>
              </w:rPr>
              <w:t>亩（每年）。</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新宾县水务局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新宾县50平方公里以下小流域治理工程</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通过水土保持工程控制水土流失面积</w:t>
            </w:r>
            <w:r>
              <w:rPr>
                <w:rStyle w:val="59"/>
                <w:color w:val="auto"/>
                <w:highlight w:val="none"/>
                <w:lang w:val="en-US" w:eastAsia="zh-CN" w:bidi="ar"/>
              </w:rPr>
              <w:t>34km²</w:t>
            </w:r>
            <w:r>
              <w:rPr>
                <w:rStyle w:val="63"/>
                <w:color w:val="auto"/>
                <w:highlight w:val="none"/>
                <w:lang w:val="en-US" w:eastAsia="zh-CN" w:bidi="ar"/>
              </w:rPr>
              <w:t>，共计治理</w:t>
            </w:r>
            <w:r>
              <w:rPr>
                <w:rStyle w:val="59"/>
                <w:color w:val="auto"/>
                <w:highlight w:val="none"/>
                <w:lang w:val="en-US" w:eastAsia="zh-CN" w:bidi="ar"/>
              </w:rPr>
              <w:t>12</w:t>
            </w:r>
            <w:r>
              <w:rPr>
                <w:rStyle w:val="63"/>
                <w:color w:val="auto"/>
                <w:highlight w:val="none"/>
                <w:lang w:val="en-US" w:eastAsia="zh-CN" w:bidi="ar"/>
              </w:rPr>
              <w:t>条小流域。</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新宾县水务局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bdr w:val="single" w:color="000000" w:sz="4" w:space="0"/>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专栏7：人居环境重点项目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新宾满族自治县2022年农村生活污水治理项目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分散处理：上夹河镇南嘉禾村295户，响水河乡响水河子村响水河子屯平房区域182户农村居民采取分散式生活污水治理模式，每户设置一套三格化粪池对污水进行净化，各村配备1辆4.5t吸污车，污水资源化利用或转运至周边污水处理设施进行处理。</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集中处理：南杂木镇榔头沟村榔头沟屯350户，红庙子乡长岭子村160户，响水河乡响水河子村响水河子屯楼房区域269户，旺清门镇东江沿汉族村200户农村居民开展集中式生活污水处理模式，每村分别增设一套一体化污水处理设施及人工潜流湿地，住户产生的生活污水经污水管网收集后输送至一体化污水处理设施处理，最后经由潜流湿地排入附近水体。</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新建一体化污水处理设施榔头沟村25t/日1套，长岭子村10t/日1套，响水河子村30t/日1套，东江沿汉族村10t/日1套。其中，长岭子村长岭子屯河南区域35户及长岭子村龙头屯30户居民生活污水采用收集管网集中收集至污水收集池，并配备1辆4.5t吸污车，污水转运至长岭子屯河北新建污水设施进行处理。</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将国家级传统村落、国家级农村环境质量重点监控村赫图阿拉村作为试点，对其老旧农村生活污水处理设施进行维修改造。4个末端排污口分别增设一体化污水处理设施20t/日1套、15t/日2套、10t/日1套，并在污水处理设施末端修建人工潜流湿地。</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抚顺市生态环境局新宾县分局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抚顺县大伙房水库周边农村生活污水治理项目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包括小型污水处理站、户用污水净化装置、土地渗滤系统建设，以及配套污水管网建设、改造等：</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（1）新建小型污水处理站2座，规模均为15 m3/d；配套建设污水管网长度合计5380米、检查井322座，改造庭院内污水管路合计397户。</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（2）新建户用污水净化装置470套，配套改造庭院内污水管路合计470户。</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（3）新建灰水土地渗滤系统4084座。</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4673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抚顺县城镇建设服务中心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4"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抚顺市清原县柴河源头区农村生活污水治理项目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计划在清原县夏家堡镇金家窝棚村、马家店村、猴石村、金庄村、赵堡村、夏家堡村等6个村，开展生活污水治理项目建设。新建小型污水处理站1座，为夏家堡村150 m3/d；配套建设污水管网长度合计7500米、检查井300座；新建灰水土地渗滤系统1443座。</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2362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夏家堡镇人民政府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专栏8：生态系统保护和修复重点项目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新宾县林业有害生物综合防治项目(山水林田湖草项目）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计划开展疫木除治19295株；松材线虫病综合防治356.1公顷；栗山天牛综合防治218.72公顷；美国白蛾防治74.33公顷；建立预警网路体系。</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665.22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新宾县林草局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辽宁抚顺苏子河（新宾段）及其湿地生态环境修复项目(山水林田湖草项目）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主要包括红升水库入库河口湿地恢复工程、红升水库周边破损山体修复工程、苏子河生态驳岸及隔离带建设工程以及苏子河两岸防护林及驳岸修复工程</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6437</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新宾县自然资源局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社河湿地保护项目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131公里保护围栏，60公顷湿地修复</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4670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抚顺县自然资源事务中心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专栏9：提升生态治理能力现代化水平重点项目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9"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抚顺市环境空气挥发性有机物自动监测能力建设项目及抚顺市环境空气细颗粒物组分自动监测能力建设项目</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1、建设站房及配套设施等工程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2、购买相关设备及辅助设施</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市生态环境局</w:t>
            </w:r>
          </w:p>
        </w:tc>
      </w:tr>
    </w:tbl>
    <w:p>
      <w:pPr>
        <w:pStyle w:val="2"/>
        <w:ind w:left="0" w:leftChars="0" w:firstLine="0" w:firstLineChars="0"/>
        <w:rPr>
          <w:rFonts w:hint="default"/>
          <w:color w:val="auto"/>
          <w:highlight w:val="none"/>
          <w:lang w:val="en-US" w:eastAsia="zh-CN"/>
        </w:rPr>
      </w:pPr>
    </w:p>
    <w:sectPr>
      <w:pgSz w:w="16838" w:h="11906" w:orient="landscape"/>
      <w:pgMar w:top="1800" w:right="1440" w:bottom="1800" w:left="1440" w:header="708" w:footer="708" w:gutter="0"/>
      <w:pgBorders>
        <w:top w:val="none" w:sz="0" w:space="0"/>
        <w:left w:val="none" w:sz="0" w:space="0"/>
        <w:bottom w:val="none" w:sz="0" w:space="0"/>
        <w:right w:val="none" w:sz="0" w:space="0"/>
      </w:pgBorders>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428"/>
    </w:sdtPr>
    <w:sdtContent>
      <w:p>
        <w:pPr>
          <w:pStyle w:val="16"/>
          <w:jc w:val="center"/>
        </w:pPr>
        <w:r>
          <w:fldChar w:fldCharType="begin"/>
        </w:r>
        <w:r>
          <w:instrText xml:space="preserve"> PAGE   \* MERGEFORMAT </w:instrText>
        </w:r>
        <w:r>
          <w:fldChar w:fldCharType="separate"/>
        </w:r>
        <w:r>
          <w:rPr>
            <w:lang w:val="zh-CN"/>
          </w:rPr>
          <w:t>71</w:t>
        </w:r>
        <w:r>
          <w:rPr>
            <w:lang w:val="zh-CN"/>
          </w:rPr>
          <w:fldChar w:fldCharType="end"/>
        </w:r>
      </w:p>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AA14D"/>
    <w:multiLevelType w:val="singleLevel"/>
    <w:tmpl w:val="8B5AA14D"/>
    <w:lvl w:ilvl="0" w:tentative="0">
      <w:start w:val="1"/>
      <w:numFmt w:val="decimal"/>
      <w:lvlText w:val="%1."/>
      <w:lvlJc w:val="left"/>
      <w:pPr>
        <w:tabs>
          <w:tab w:val="left" w:pos="234"/>
        </w:tabs>
        <w:ind w:left="283" w:leftChars="0" w:hanging="283" w:firstLineChars="0"/>
      </w:pPr>
      <w:rPr>
        <w:rFonts w:hint="default"/>
      </w:rPr>
    </w:lvl>
  </w:abstractNum>
  <w:abstractNum w:abstractNumId="1">
    <w:nsid w:val="AAA6C0EB"/>
    <w:multiLevelType w:val="singleLevel"/>
    <w:tmpl w:val="AAA6C0EB"/>
    <w:lvl w:ilvl="0" w:tentative="0">
      <w:start w:val="1"/>
      <w:numFmt w:val="decimal"/>
      <w:lvlText w:val="%1."/>
      <w:lvlJc w:val="left"/>
      <w:pPr>
        <w:tabs>
          <w:tab w:val="left" w:pos="283"/>
        </w:tabs>
        <w:ind w:left="454" w:leftChars="0" w:hanging="454" w:firstLineChars="0"/>
      </w:pPr>
      <w:rPr>
        <w:rFonts w:hint="default" w:ascii="宋体" w:hAnsi="宋体" w:eastAsia="宋体" w:cs="宋体"/>
        <w:b w:val="0"/>
        <w:bCs w:val="0"/>
        <w:sz w:val="21"/>
        <w:szCs w:val="21"/>
      </w:rPr>
    </w:lvl>
  </w:abstractNum>
  <w:abstractNum w:abstractNumId="2">
    <w:nsid w:val="E455453D"/>
    <w:multiLevelType w:val="multilevel"/>
    <w:tmpl w:val="E455453D"/>
    <w:lvl w:ilvl="0" w:tentative="0">
      <w:start w:val="1"/>
      <w:numFmt w:val="decimal"/>
      <w:lvlText w:val="%1"/>
      <w:lvlJc w:val="center"/>
      <w:pPr>
        <w:ind w:left="210" w:firstLine="0"/>
      </w:pPr>
      <w:rPr>
        <w:rFonts w:hint="default" w:ascii="Times New Roman" w:hAnsi="Times New Roman" w:cs="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6D44210"/>
    <w:multiLevelType w:val="singleLevel"/>
    <w:tmpl w:val="F6D44210"/>
    <w:lvl w:ilvl="0" w:tentative="0">
      <w:start w:val="1"/>
      <w:numFmt w:val="decimal"/>
      <w:lvlText w:val="%1."/>
      <w:lvlJc w:val="left"/>
      <w:pPr>
        <w:tabs>
          <w:tab w:val="left" w:pos="227"/>
        </w:tabs>
        <w:ind w:left="454" w:leftChars="0" w:hanging="454" w:firstLineChars="0"/>
      </w:pPr>
      <w:rPr>
        <w:rFonts w:hint="default" w:ascii="宋体" w:hAnsi="宋体" w:eastAsia="宋体" w:cs="宋体"/>
        <w:b w:val="0"/>
        <w:bCs w:val="0"/>
        <w:sz w:val="21"/>
        <w:szCs w:val="21"/>
      </w:rPr>
    </w:lvl>
  </w:abstractNum>
  <w:abstractNum w:abstractNumId="4">
    <w:nsid w:val="F7CB0CEA"/>
    <w:multiLevelType w:val="singleLevel"/>
    <w:tmpl w:val="F7CB0CEA"/>
    <w:lvl w:ilvl="0" w:tentative="0">
      <w:start w:val="1"/>
      <w:numFmt w:val="decimal"/>
      <w:lvlText w:val="%1."/>
      <w:lvlJc w:val="left"/>
      <w:pPr>
        <w:tabs>
          <w:tab w:val="left" w:pos="234"/>
        </w:tabs>
        <w:ind w:left="283" w:leftChars="0" w:hanging="283" w:firstLineChars="0"/>
      </w:pPr>
      <w:rPr>
        <w:rFonts w:hint="default"/>
      </w:rPr>
    </w:lvl>
  </w:abstractNum>
  <w:abstractNum w:abstractNumId="5">
    <w:nsid w:val="0CF9E8BB"/>
    <w:multiLevelType w:val="singleLevel"/>
    <w:tmpl w:val="0CF9E8BB"/>
    <w:lvl w:ilvl="0" w:tentative="0">
      <w:start w:val="1"/>
      <w:numFmt w:val="decimal"/>
      <w:lvlText w:val="%1."/>
      <w:lvlJc w:val="left"/>
      <w:pPr>
        <w:tabs>
          <w:tab w:val="left" w:pos="312"/>
        </w:tabs>
      </w:pPr>
    </w:lvl>
  </w:abstractNum>
  <w:abstractNum w:abstractNumId="6">
    <w:nsid w:val="161C6C29"/>
    <w:multiLevelType w:val="multilevel"/>
    <w:tmpl w:val="161C6C29"/>
    <w:lvl w:ilvl="0" w:tentative="0">
      <w:start w:val="1"/>
      <w:numFmt w:val="chineseCountingThousand"/>
      <w:suff w:val="nothing"/>
      <w:lvlText w:val="%1、"/>
      <w:lvlJc w:val="left"/>
      <w:pPr>
        <w:ind w:left="0" w:firstLine="0"/>
      </w:pPr>
    </w:lvl>
    <w:lvl w:ilvl="1" w:tentative="0">
      <w:start w:val="1"/>
      <w:numFmt w:val="chineseCountingThousand"/>
      <w:suff w:val="nothing"/>
      <w:lvlText w:val="（%2）"/>
      <w:lvlJc w:val="left"/>
      <w:pPr>
        <w:ind w:left="0" w:firstLine="0"/>
      </w:pPr>
    </w:lvl>
    <w:lvl w:ilvl="2" w:tentative="0">
      <w:start w:val="1"/>
      <w:numFmt w:val="decimal"/>
      <w:suff w:val="nothing"/>
      <w:lvlText w:val="%3、"/>
      <w:lvlJc w:val="left"/>
      <w:pPr>
        <w:ind w:left="0" w:firstLine="0"/>
      </w:pPr>
    </w:lvl>
    <w:lvl w:ilvl="3" w:tentative="0">
      <w:start w:val="1"/>
      <w:numFmt w:val="decimal"/>
      <w:pStyle w:val="6"/>
      <w:suff w:val="nothing"/>
      <w:lvlText w:val="（%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7">
    <w:nsid w:val="3CE826F4"/>
    <w:multiLevelType w:val="singleLevel"/>
    <w:tmpl w:val="3CE826F4"/>
    <w:lvl w:ilvl="0" w:tentative="0">
      <w:start w:val="1"/>
      <w:numFmt w:val="decimal"/>
      <w:lvlText w:val="%1."/>
      <w:lvlJc w:val="left"/>
      <w:pPr>
        <w:tabs>
          <w:tab w:val="left" w:pos="283"/>
        </w:tabs>
        <w:ind w:left="454" w:leftChars="0" w:hanging="454" w:firstLineChars="0"/>
      </w:pPr>
      <w:rPr>
        <w:rFonts w:hint="default"/>
      </w:rPr>
    </w:lvl>
  </w:abstractNum>
  <w:abstractNum w:abstractNumId="8">
    <w:nsid w:val="64A12551"/>
    <w:multiLevelType w:val="singleLevel"/>
    <w:tmpl w:val="64A12551"/>
    <w:lvl w:ilvl="0" w:tentative="0">
      <w:start w:val="1"/>
      <w:numFmt w:val="decimal"/>
      <w:lvlText w:val="%1."/>
      <w:lvlJc w:val="left"/>
      <w:pPr>
        <w:tabs>
          <w:tab w:val="left" w:pos="297"/>
        </w:tabs>
        <w:ind w:left="282" w:leftChars="0" w:hanging="282" w:firstLineChars="0"/>
      </w:pPr>
      <w:rPr>
        <w:rFonts w:hint="default" w:ascii="宋体" w:hAnsi="宋体" w:eastAsia="宋体" w:cs="宋体"/>
        <w:b w:val="0"/>
        <w:bCs w:val="0"/>
        <w:sz w:val="21"/>
        <w:szCs w:val="21"/>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7"/>
  </w:num>
  <w:num w:numId="6">
    <w:abstractNumId w:val="4"/>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NjdjZGVhZTBhZmU0YjBhMDI0ZTc5ODhlODA2OTUifQ=="/>
  </w:docVars>
  <w:rsids>
    <w:rsidRoot w:val="009E6906"/>
    <w:rsid w:val="0000006E"/>
    <w:rsid w:val="0000385B"/>
    <w:rsid w:val="00006412"/>
    <w:rsid w:val="00006554"/>
    <w:rsid w:val="000137AB"/>
    <w:rsid w:val="00015144"/>
    <w:rsid w:val="00031857"/>
    <w:rsid w:val="00035BF2"/>
    <w:rsid w:val="0003734B"/>
    <w:rsid w:val="00040A81"/>
    <w:rsid w:val="0004252A"/>
    <w:rsid w:val="00045D75"/>
    <w:rsid w:val="0005537D"/>
    <w:rsid w:val="000637F3"/>
    <w:rsid w:val="000757F8"/>
    <w:rsid w:val="000775AE"/>
    <w:rsid w:val="00097CC0"/>
    <w:rsid w:val="000A56CE"/>
    <w:rsid w:val="000A7AB3"/>
    <w:rsid w:val="000A7CDB"/>
    <w:rsid w:val="000C5EFE"/>
    <w:rsid w:val="000D5028"/>
    <w:rsid w:val="000E26A2"/>
    <w:rsid w:val="000E4F26"/>
    <w:rsid w:val="000E69F3"/>
    <w:rsid w:val="000E6E85"/>
    <w:rsid w:val="000F0C95"/>
    <w:rsid w:val="001139CA"/>
    <w:rsid w:val="001236E9"/>
    <w:rsid w:val="001267E8"/>
    <w:rsid w:val="00132D8F"/>
    <w:rsid w:val="00133743"/>
    <w:rsid w:val="00135210"/>
    <w:rsid w:val="001353B2"/>
    <w:rsid w:val="001501B4"/>
    <w:rsid w:val="00153DEE"/>
    <w:rsid w:val="00157F9A"/>
    <w:rsid w:val="0017156B"/>
    <w:rsid w:val="001815B6"/>
    <w:rsid w:val="00182C3B"/>
    <w:rsid w:val="00184F15"/>
    <w:rsid w:val="00186706"/>
    <w:rsid w:val="001950AD"/>
    <w:rsid w:val="00197EE5"/>
    <w:rsid w:val="001A1EDD"/>
    <w:rsid w:val="001A4FE1"/>
    <w:rsid w:val="001A694B"/>
    <w:rsid w:val="001B26F9"/>
    <w:rsid w:val="001B6668"/>
    <w:rsid w:val="001C0D88"/>
    <w:rsid w:val="001C44EF"/>
    <w:rsid w:val="001D45C8"/>
    <w:rsid w:val="001E6F29"/>
    <w:rsid w:val="001F1EC4"/>
    <w:rsid w:val="001F2691"/>
    <w:rsid w:val="001F463F"/>
    <w:rsid w:val="00203485"/>
    <w:rsid w:val="00204459"/>
    <w:rsid w:val="0020511F"/>
    <w:rsid w:val="002403CF"/>
    <w:rsid w:val="0024043F"/>
    <w:rsid w:val="00241B84"/>
    <w:rsid w:val="0024440F"/>
    <w:rsid w:val="00252131"/>
    <w:rsid w:val="002560F4"/>
    <w:rsid w:val="00263EDD"/>
    <w:rsid w:val="00266E29"/>
    <w:rsid w:val="00274BCD"/>
    <w:rsid w:val="00284930"/>
    <w:rsid w:val="0029001C"/>
    <w:rsid w:val="002A6573"/>
    <w:rsid w:val="002A6C1D"/>
    <w:rsid w:val="002C2B94"/>
    <w:rsid w:val="002C79AA"/>
    <w:rsid w:val="002E0B9D"/>
    <w:rsid w:val="002E2513"/>
    <w:rsid w:val="002E5CDE"/>
    <w:rsid w:val="002E5EC3"/>
    <w:rsid w:val="002F0587"/>
    <w:rsid w:val="002F38D0"/>
    <w:rsid w:val="002F3ACC"/>
    <w:rsid w:val="002F6592"/>
    <w:rsid w:val="00301518"/>
    <w:rsid w:val="003074AB"/>
    <w:rsid w:val="0030784E"/>
    <w:rsid w:val="00311A74"/>
    <w:rsid w:val="0031410F"/>
    <w:rsid w:val="0031562C"/>
    <w:rsid w:val="00315EFA"/>
    <w:rsid w:val="00317190"/>
    <w:rsid w:val="003207F8"/>
    <w:rsid w:val="00323B43"/>
    <w:rsid w:val="003333F3"/>
    <w:rsid w:val="00337F00"/>
    <w:rsid w:val="00340434"/>
    <w:rsid w:val="00342D49"/>
    <w:rsid w:val="0034355E"/>
    <w:rsid w:val="003470A3"/>
    <w:rsid w:val="0035375F"/>
    <w:rsid w:val="003575D9"/>
    <w:rsid w:val="00366F0E"/>
    <w:rsid w:val="00367DB3"/>
    <w:rsid w:val="003713EA"/>
    <w:rsid w:val="00375BB7"/>
    <w:rsid w:val="003777AE"/>
    <w:rsid w:val="00390862"/>
    <w:rsid w:val="003A6342"/>
    <w:rsid w:val="003B518E"/>
    <w:rsid w:val="003B695C"/>
    <w:rsid w:val="003B7FDD"/>
    <w:rsid w:val="003C61B6"/>
    <w:rsid w:val="003D37D8"/>
    <w:rsid w:val="003D63AA"/>
    <w:rsid w:val="003E0986"/>
    <w:rsid w:val="003E49E9"/>
    <w:rsid w:val="003E69EC"/>
    <w:rsid w:val="003F38E3"/>
    <w:rsid w:val="003F7CB0"/>
    <w:rsid w:val="00405229"/>
    <w:rsid w:val="00406F11"/>
    <w:rsid w:val="00411DE9"/>
    <w:rsid w:val="004148BD"/>
    <w:rsid w:val="00415459"/>
    <w:rsid w:val="0042034C"/>
    <w:rsid w:val="00422BA6"/>
    <w:rsid w:val="004321DC"/>
    <w:rsid w:val="004358AB"/>
    <w:rsid w:val="00437601"/>
    <w:rsid w:val="004503EF"/>
    <w:rsid w:val="004538C4"/>
    <w:rsid w:val="00453D91"/>
    <w:rsid w:val="00453DE5"/>
    <w:rsid w:val="00464E18"/>
    <w:rsid w:val="00465919"/>
    <w:rsid w:val="004661B3"/>
    <w:rsid w:val="004679AB"/>
    <w:rsid w:val="004726D6"/>
    <w:rsid w:val="00476D78"/>
    <w:rsid w:val="0049174D"/>
    <w:rsid w:val="004B5F63"/>
    <w:rsid w:val="004B6555"/>
    <w:rsid w:val="004C0F42"/>
    <w:rsid w:val="004C538F"/>
    <w:rsid w:val="004E6E2C"/>
    <w:rsid w:val="00500019"/>
    <w:rsid w:val="00507F27"/>
    <w:rsid w:val="00514225"/>
    <w:rsid w:val="005171C7"/>
    <w:rsid w:val="00532697"/>
    <w:rsid w:val="00533D0A"/>
    <w:rsid w:val="00543186"/>
    <w:rsid w:val="00551D9C"/>
    <w:rsid w:val="00552DB7"/>
    <w:rsid w:val="00556BCF"/>
    <w:rsid w:val="00564C7F"/>
    <w:rsid w:val="005702AF"/>
    <w:rsid w:val="00572259"/>
    <w:rsid w:val="00575DE7"/>
    <w:rsid w:val="00577390"/>
    <w:rsid w:val="005800D7"/>
    <w:rsid w:val="00581B61"/>
    <w:rsid w:val="0058337C"/>
    <w:rsid w:val="0059284F"/>
    <w:rsid w:val="005965D4"/>
    <w:rsid w:val="005971C7"/>
    <w:rsid w:val="00597482"/>
    <w:rsid w:val="005A34EA"/>
    <w:rsid w:val="005A6DEF"/>
    <w:rsid w:val="005A74D2"/>
    <w:rsid w:val="005B1229"/>
    <w:rsid w:val="005B3A5D"/>
    <w:rsid w:val="005B6A1E"/>
    <w:rsid w:val="005C51DB"/>
    <w:rsid w:val="005D70D9"/>
    <w:rsid w:val="005E0C52"/>
    <w:rsid w:val="005E531D"/>
    <w:rsid w:val="005E68E1"/>
    <w:rsid w:val="005F236D"/>
    <w:rsid w:val="005F4355"/>
    <w:rsid w:val="005F7188"/>
    <w:rsid w:val="00600AEC"/>
    <w:rsid w:val="00602301"/>
    <w:rsid w:val="00603D2A"/>
    <w:rsid w:val="00606F0C"/>
    <w:rsid w:val="00622CC6"/>
    <w:rsid w:val="006302B0"/>
    <w:rsid w:val="00635AF9"/>
    <w:rsid w:val="006363E4"/>
    <w:rsid w:val="00636F5C"/>
    <w:rsid w:val="0064343A"/>
    <w:rsid w:val="00644443"/>
    <w:rsid w:val="006672BE"/>
    <w:rsid w:val="006727BE"/>
    <w:rsid w:val="00675EB1"/>
    <w:rsid w:val="00681AF4"/>
    <w:rsid w:val="00683D33"/>
    <w:rsid w:val="006921BF"/>
    <w:rsid w:val="006940C2"/>
    <w:rsid w:val="006A2A28"/>
    <w:rsid w:val="006B6ECF"/>
    <w:rsid w:val="006B785D"/>
    <w:rsid w:val="006C6D00"/>
    <w:rsid w:val="006D4332"/>
    <w:rsid w:val="006D611B"/>
    <w:rsid w:val="006E23DC"/>
    <w:rsid w:val="006F52B4"/>
    <w:rsid w:val="00705C6A"/>
    <w:rsid w:val="00720BBF"/>
    <w:rsid w:val="00727C0E"/>
    <w:rsid w:val="00730C13"/>
    <w:rsid w:val="00730F41"/>
    <w:rsid w:val="00731837"/>
    <w:rsid w:val="00732053"/>
    <w:rsid w:val="007506F9"/>
    <w:rsid w:val="00752476"/>
    <w:rsid w:val="00752C96"/>
    <w:rsid w:val="00755439"/>
    <w:rsid w:val="007635E1"/>
    <w:rsid w:val="00765F15"/>
    <w:rsid w:val="00766385"/>
    <w:rsid w:val="007666F5"/>
    <w:rsid w:val="00770388"/>
    <w:rsid w:val="00773375"/>
    <w:rsid w:val="007750E2"/>
    <w:rsid w:val="00775C6C"/>
    <w:rsid w:val="00792F81"/>
    <w:rsid w:val="00794AE0"/>
    <w:rsid w:val="007A3598"/>
    <w:rsid w:val="007B46AD"/>
    <w:rsid w:val="007B6BBE"/>
    <w:rsid w:val="007B7496"/>
    <w:rsid w:val="007C0D9B"/>
    <w:rsid w:val="007C2C23"/>
    <w:rsid w:val="007C40CC"/>
    <w:rsid w:val="007C7ACC"/>
    <w:rsid w:val="007D2D25"/>
    <w:rsid w:val="007D47F1"/>
    <w:rsid w:val="007D5B91"/>
    <w:rsid w:val="007F37EF"/>
    <w:rsid w:val="007F483B"/>
    <w:rsid w:val="00811DF8"/>
    <w:rsid w:val="008150F2"/>
    <w:rsid w:val="008276EE"/>
    <w:rsid w:val="008322E7"/>
    <w:rsid w:val="00836FDC"/>
    <w:rsid w:val="00846ED1"/>
    <w:rsid w:val="0085452D"/>
    <w:rsid w:val="0085781D"/>
    <w:rsid w:val="00863AA5"/>
    <w:rsid w:val="0086707C"/>
    <w:rsid w:val="00883C6C"/>
    <w:rsid w:val="008909DF"/>
    <w:rsid w:val="00897714"/>
    <w:rsid w:val="008A2FDE"/>
    <w:rsid w:val="008A4033"/>
    <w:rsid w:val="008A4F84"/>
    <w:rsid w:val="008A5013"/>
    <w:rsid w:val="008B7726"/>
    <w:rsid w:val="008C2062"/>
    <w:rsid w:val="008D6443"/>
    <w:rsid w:val="008E4CF2"/>
    <w:rsid w:val="008E6F4D"/>
    <w:rsid w:val="008F2086"/>
    <w:rsid w:val="008F31C6"/>
    <w:rsid w:val="008F3601"/>
    <w:rsid w:val="0090094F"/>
    <w:rsid w:val="00911263"/>
    <w:rsid w:val="009133A2"/>
    <w:rsid w:val="009160F6"/>
    <w:rsid w:val="00916107"/>
    <w:rsid w:val="0091781B"/>
    <w:rsid w:val="00921A88"/>
    <w:rsid w:val="0092724C"/>
    <w:rsid w:val="009331E1"/>
    <w:rsid w:val="009429B8"/>
    <w:rsid w:val="00964FB8"/>
    <w:rsid w:val="009710AA"/>
    <w:rsid w:val="0097633F"/>
    <w:rsid w:val="00977831"/>
    <w:rsid w:val="009858FD"/>
    <w:rsid w:val="0099329E"/>
    <w:rsid w:val="009955D5"/>
    <w:rsid w:val="009A2709"/>
    <w:rsid w:val="009A5ADA"/>
    <w:rsid w:val="009B4850"/>
    <w:rsid w:val="009C340A"/>
    <w:rsid w:val="009C58D5"/>
    <w:rsid w:val="009D0A4D"/>
    <w:rsid w:val="009D1B0B"/>
    <w:rsid w:val="009D1B1A"/>
    <w:rsid w:val="009D4526"/>
    <w:rsid w:val="009E02D3"/>
    <w:rsid w:val="009E52B6"/>
    <w:rsid w:val="009E6352"/>
    <w:rsid w:val="009E6906"/>
    <w:rsid w:val="009E7948"/>
    <w:rsid w:val="00A033D5"/>
    <w:rsid w:val="00A05EFA"/>
    <w:rsid w:val="00A0709E"/>
    <w:rsid w:val="00A13A01"/>
    <w:rsid w:val="00A13F02"/>
    <w:rsid w:val="00A21880"/>
    <w:rsid w:val="00A24E8E"/>
    <w:rsid w:val="00A33A42"/>
    <w:rsid w:val="00A37744"/>
    <w:rsid w:val="00A60521"/>
    <w:rsid w:val="00A62157"/>
    <w:rsid w:val="00A643E5"/>
    <w:rsid w:val="00A66E2A"/>
    <w:rsid w:val="00A71BC4"/>
    <w:rsid w:val="00A7508E"/>
    <w:rsid w:val="00A829D7"/>
    <w:rsid w:val="00A834D3"/>
    <w:rsid w:val="00A85582"/>
    <w:rsid w:val="00A87DCA"/>
    <w:rsid w:val="00A978A3"/>
    <w:rsid w:val="00A97C19"/>
    <w:rsid w:val="00AA0C3C"/>
    <w:rsid w:val="00AA4CE9"/>
    <w:rsid w:val="00AA6CCB"/>
    <w:rsid w:val="00AB45C5"/>
    <w:rsid w:val="00AC3B5F"/>
    <w:rsid w:val="00AC4808"/>
    <w:rsid w:val="00AC4A77"/>
    <w:rsid w:val="00AF0F23"/>
    <w:rsid w:val="00AF298C"/>
    <w:rsid w:val="00B024EB"/>
    <w:rsid w:val="00B0621B"/>
    <w:rsid w:val="00B14273"/>
    <w:rsid w:val="00B16060"/>
    <w:rsid w:val="00B34CC2"/>
    <w:rsid w:val="00B373BA"/>
    <w:rsid w:val="00B37A89"/>
    <w:rsid w:val="00B412EB"/>
    <w:rsid w:val="00B4793C"/>
    <w:rsid w:val="00B555A0"/>
    <w:rsid w:val="00B55A9E"/>
    <w:rsid w:val="00B571BC"/>
    <w:rsid w:val="00B60F44"/>
    <w:rsid w:val="00B71675"/>
    <w:rsid w:val="00B833D2"/>
    <w:rsid w:val="00BA31A1"/>
    <w:rsid w:val="00BA3981"/>
    <w:rsid w:val="00BA4748"/>
    <w:rsid w:val="00BB71D1"/>
    <w:rsid w:val="00BC2299"/>
    <w:rsid w:val="00BD4533"/>
    <w:rsid w:val="00BD6BF2"/>
    <w:rsid w:val="00BE4C88"/>
    <w:rsid w:val="00BF388F"/>
    <w:rsid w:val="00C01D12"/>
    <w:rsid w:val="00C0257C"/>
    <w:rsid w:val="00C16CAB"/>
    <w:rsid w:val="00C261BA"/>
    <w:rsid w:val="00C32637"/>
    <w:rsid w:val="00C35AEC"/>
    <w:rsid w:val="00C40F2A"/>
    <w:rsid w:val="00C41989"/>
    <w:rsid w:val="00C44217"/>
    <w:rsid w:val="00C45977"/>
    <w:rsid w:val="00C461EB"/>
    <w:rsid w:val="00C47A1E"/>
    <w:rsid w:val="00C54064"/>
    <w:rsid w:val="00C54620"/>
    <w:rsid w:val="00C64C73"/>
    <w:rsid w:val="00C6542B"/>
    <w:rsid w:val="00C709F3"/>
    <w:rsid w:val="00C73E92"/>
    <w:rsid w:val="00C74240"/>
    <w:rsid w:val="00C812F6"/>
    <w:rsid w:val="00CA54BE"/>
    <w:rsid w:val="00CA557C"/>
    <w:rsid w:val="00CB3120"/>
    <w:rsid w:val="00CB40D8"/>
    <w:rsid w:val="00CC259D"/>
    <w:rsid w:val="00CC2949"/>
    <w:rsid w:val="00CC7D78"/>
    <w:rsid w:val="00CD1EDB"/>
    <w:rsid w:val="00CF45AC"/>
    <w:rsid w:val="00CF6489"/>
    <w:rsid w:val="00D016F3"/>
    <w:rsid w:val="00D02BCA"/>
    <w:rsid w:val="00D048FD"/>
    <w:rsid w:val="00D0613B"/>
    <w:rsid w:val="00D15957"/>
    <w:rsid w:val="00D33B86"/>
    <w:rsid w:val="00D33F13"/>
    <w:rsid w:val="00D40820"/>
    <w:rsid w:val="00D41E55"/>
    <w:rsid w:val="00D5135E"/>
    <w:rsid w:val="00D70170"/>
    <w:rsid w:val="00D76736"/>
    <w:rsid w:val="00D770FD"/>
    <w:rsid w:val="00D86A97"/>
    <w:rsid w:val="00D91A04"/>
    <w:rsid w:val="00D95B4E"/>
    <w:rsid w:val="00DA2793"/>
    <w:rsid w:val="00DB1442"/>
    <w:rsid w:val="00DC21B5"/>
    <w:rsid w:val="00DC5653"/>
    <w:rsid w:val="00DC5796"/>
    <w:rsid w:val="00E01F0C"/>
    <w:rsid w:val="00E07EF1"/>
    <w:rsid w:val="00E169AB"/>
    <w:rsid w:val="00E20405"/>
    <w:rsid w:val="00E24DCD"/>
    <w:rsid w:val="00E27B72"/>
    <w:rsid w:val="00E4280C"/>
    <w:rsid w:val="00E52A08"/>
    <w:rsid w:val="00E640A2"/>
    <w:rsid w:val="00E65197"/>
    <w:rsid w:val="00E703B7"/>
    <w:rsid w:val="00E70E8C"/>
    <w:rsid w:val="00E71290"/>
    <w:rsid w:val="00E72426"/>
    <w:rsid w:val="00E72B31"/>
    <w:rsid w:val="00E741FF"/>
    <w:rsid w:val="00E807B8"/>
    <w:rsid w:val="00E80BC1"/>
    <w:rsid w:val="00E84088"/>
    <w:rsid w:val="00E84F18"/>
    <w:rsid w:val="00E91000"/>
    <w:rsid w:val="00E9242F"/>
    <w:rsid w:val="00E92F46"/>
    <w:rsid w:val="00EA11DA"/>
    <w:rsid w:val="00EA610C"/>
    <w:rsid w:val="00EB26F8"/>
    <w:rsid w:val="00EB5FDC"/>
    <w:rsid w:val="00EC1017"/>
    <w:rsid w:val="00ED4492"/>
    <w:rsid w:val="00ED4F00"/>
    <w:rsid w:val="00ED723D"/>
    <w:rsid w:val="00EE399E"/>
    <w:rsid w:val="00EE4652"/>
    <w:rsid w:val="00EF1890"/>
    <w:rsid w:val="00F01E8B"/>
    <w:rsid w:val="00F05E52"/>
    <w:rsid w:val="00F10F49"/>
    <w:rsid w:val="00F14447"/>
    <w:rsid w:val="00F24470"/>
    <w:rsid w:val="00F30EDE"/>
    <w:rsid w:val="00F31C35"/>
    <w:rsid w:val="00F31EC3"/>
    <w:rsid w:val="00F3430B"/>
    <w:rsid w:val="00F357E0"/>
    <w:rsid w:val="00F41279"/>
    <w:rsid w:val="00F41C35"/>
    <w:rsid w:val="00F4764E"/>
    <w:rsid w:val="00F60426"/>
    <w:rsid w:val="00F60DD8"/>
    <w:rsid w:val="00F65F12"/>
    <w:rsid w:val="00F81EAC"/>
    <w:rsid w:val="00F82152"/>
    <w:rsid w:val="00F85CAF"/>
    <w:rsid w:val="00F862F0"/>
    <w:rsid w:val="00F9035B"/>
    <w:rsid w:val="00F927F2"/>
    <w:rsid w:val="00F96B27"/>
    <w:rsid w:val="00FA62A2"/>
    <w:rsid w:val="00FC061C"/>
    <w:rsid w:val="00FC2E8D"/>
    <w:rsid w:val="00FD5E02"/>
    <w:rsid w:val="00FD6011"/>
    <w:rsid w:val="00FE182F"/>
    <w:rsid w:val="00FE1BFB"/>
    <w:rsid w:val="00FF0CDA"/>
    <w:rsid w:val="017A477C"/>
    <w:rsid w:val="01B6046A"/>
    <w:rsid w:val="020611E9"/>
    <w:rsid w:val="02D92666"/>
    <w:rsid w:val="02F80A70"/>
    <w:rsid w:val="03270E00"/>
    <w:rsid w:val="033F404F"/>
    <w:rsid w:val="04693675"/>
    <w:rsid w:val="04816EF8"/>
    <w:rsid w:val="04BB1B4F"/>
    <w:rsid w:val="05A20787"/>
    <w:rsid w:val="05D2547A"/>
    <w:rsid w:val="06435875"/>
    <w:rsid w:val="06D46596"/>
    <w:rsid w:val="07126095"/>
    <w:rsid w:val="07594D97"/>
    <w:rsid w:val="076D3ADE"/>
    <w:rsid w:val="076E018C"/>
    <w:rsid w:val="07AD5E6F"/>
    <w:rsid w:val="088C27DB"/>
    <w:rsid w:val="096B389D"/>
    <w:rsid w:val="09875AC6"/>
    <w:rsid w:val="09C663CD"/>
    <w:rsid w:val="0A0E26B4"/>
    <w:rsid w:val="0A3676E0"/>
    <w:rsid w:val="0A37111A"/>
    <w:rsid w:val="0AB27352"/>
    <w:rsid w:val="0AB66DAC"/>
    <w:rsid w:val="0AC71D9E"/>
    <w:rsid w:val="0AC92FC0"/>
    <w:rsid w:val="0AD876A7"/>
    <w:rsid w:val="0AE24082"/>
    <w:rsid w:val="0B9B22E6"/>
    <w:rsid w:val="0BAA05B9"/>
    <w:rsid w:val="0BAC2DBE"/>
    <w:rsid w:val="0C4A2E63"/>
    <w:rsid w:val="0C923D37"/>
    <w:rsid w:val="0CEC743A"/>
    <w:rsid w:val="0DAA3099"/>
    <w:rsid w:val="0DF97AA6"/>
    <w:rsid w:val="0E325320"/>
    <w:rsid w:val="0F22538D"/>
    <w:rsid w:val="0F906950"/>
    <w:rsid w:val="0FD3043D"/>
    <w:rsid w:val="10B4322B"/>
    <w:rsid w:val="10DA051E"/>
    <w:rsid w:val="10F644F5"/>
    <w:rsid w:val="116003F7"/>
    <w:rsid w:val="11C26472"/>
    <w:rsid w:val="11CB5358"/>
    <w:rsid w:val="11F76891"/>
    <w:rsid w:val="12E11965"/>
    <w:rsid w:val="1323778C"/>
    <w:rsid w:val="138E68A9"/>
    <w:rsid w:val="13A74DED"/>
    <w:rsid w:val="13AB4236"/>
    <w:rsid w:val="14065285"/>
    <w:rsid w:val="14B15991"/>
    <w:rsid w:val="14C30ECC"/>
    <w:rsid w:val="14DF17F6"/>
    <w:rsid w:val="15977DC9"/>
    <w:rsid w:val="159F14ED"/>
    <w:rsid w:val="15EE7D7F"/>
    <w:rsid w:val="1613446E"/>
    <w:rsid w:val="169D7F3F"/>
    <w:rsid w:val="17785848"/>
    <w:rsid w:val="17D9360E"/>
    <w:rsid w:val="17E5424A"/>
    <w:rsid w:val="17EE3EAD"/>
    <w:rsid w:val="18876269"/>
    <w:rsid w:val="19BC00D7"/>
    <w:rsid w:val="19D04B71"/>
    <w:rsid w:val="1A0B3195"/>
    <w:rsid w:val="1A5E75D4"/>
    <w:rsid w:val="1A776F9A"/>
    <w:rsid w:val="1AB71087"/>
    <w:rsid w:val="1ACD08AB"/>
    <w:rsid w:val="1B8D003A"/>
    <w:rsid w:val="1BD75AB1"/>
    <w:rsid w:val="1C9A35D8"/>
    <w:rsid w:val="1CB0370D"/>
    <w:rsid w:val="1CCF4D89"/>
    <w:rsid w:val="1CFA525B"/>
    <w:rsid w:val="1D812EA8"/>
    <w:rsid w:val="1D8B1447"/>
    <w:rsid w:val="1E364CC9"/>
    <w:rsid w:val="1E400AC1"/>
    <w:rsid w:val="1E78546E"/>
    <w:rsid w:val="1E88576B"/>
    <w:rsid w:val="20917109"/>
    <w:rsid w:val="21892B2C"/>
    <w:rsid w:val="21EA7A34"/>
    <w:rsid w:val="226950D3"/>
    <w:rsid w:val="227018A6"/>
    <w:rsid w:val="23005595"/>
    <w:rsid w:val="2369138D"/>
    <w:rsid w:val="2470590D"/>
    <w:rsid w:val="249B7557"/>
    <w:rsid w:val="24DB1E16"/>
    <w:rsid w:val="24EB401F"/>
    <w:rsid w:val="25583467"/>
    <w:rsid w:val="25764C42"/>
    <w:rsid w:val="25895298"/>
    <w:rsid w:val="25C948A6"/>
    <w:rsid w:val="25E65D14"/>
    <w:rsid w:val="2625781B"/>
    <w:rsid w:val="27076EF2"/>
    <w:rsid w:val="271C3F7E"/>
    <w:rsid w:val="272E31D6"/>
    <w:rsid w:val="275B4946"/>
    <w:rsid w:val="27812365"/>
    <w:rsid w:val="27AE736E"/>
    <w:rsid w:val="28934CE4"/>
    <w:rsid w:val="29422464"/>
    <w:rsid w:val="298C1931"/>
    <w:rsid w:val="2A7B0388"/>
    <w:rsid w:val="2BDB3E87"/>
    <w:rsid w:val="2BE12C7F"/>
    <w:rsid w:val="2C477D91"/>
    <w:rsid w:val="2C5B74BF"/>
    <w:rsid w:val="2CED26E7"/>
    <w:rsid w:val="2D0068BE"/>
    <w:rsid w:val="2D0851CB"/>
    <w:rsid w:val="2D7C529A"/>
    <w:rsid w:val="2DE44364"/>
    <w:rsid w:val="2DFA68C6"/>
    <w:rsid w:val="2DFC2A21"/>
    <w:rsid w:val="2E4A709B"/>
    <w:rsid w:val="2E5D0E66"/>
    <w:rsid w:val="2E884601"/>
    <w:rsid w:val="2EAE219A"/>
    <w:rsid w:val="2EEC149D"/>
    <w:rsid w:val="2F324562"/>
    <w:rsid w:val="2F407C97"/>
    <w:rsid w:val="2F7D127E"/>
    <w:rsid w:val="30364E26"/>
    <w:rsid w:val="30B80CB2"/>
    <w:rsid w:val="30C037FB"/>
    <w:rsid w:val="31380C7E"/>
    <w:rsid w:val="31E6028F"/>
    <w:rsid w:val="31EF6F01"/>
    <w:rsid w:val="32106CBE"/>
    <w:rsid w:val="33203790"/>
    <w:rsid w:val="332E5807"/>
    <w:rsid w:val="33490893"/>
    <w:rsid w:val="33A344E1"/>
    <w:rsid w:val="33AA0A70"/>
    <w:rsid w:val="342B073F"/>
    <w:rsid w:val="346F5595"/>
    <w:rsid w:val="34853B4C"/>
    <w:rsid w:val="36393C03"/>
    <w:rsid w:val="36405F7D"/>
    <w:rsid w:val="36545667"/>
    <w:rsid w:val="36894EC2"/>
    <w:rsid w:val="37B02C8E"/>
    <w:rsid w:val="37DB3C37"/>
    <w:rsid w:val="38982FD3"/>
    <w:rsid w:val="392002C3"/>
    <w:rsid w:val="3972203C"/>
    <w:rsid w:val="39A4132C"/>
    <w:rsid w:val="39C77372"/>
    <w:rsid w:val="3A72347B"/>
    <w:rsid w:val="3ABE746A"/>
    <w:rsid w:val="3B045FB7"/>
    <w:rsid w:val="3B331C0C"/>
    <w:rsid w:val="3B53405D"/>
    <w:rsid w:val="3B8F31F1"/>
    <w:rsid w:val="3BB23479"/>
    <w:rsid w:val="3BFB785F"/>
    <w:rsid w:val="3C88182F"/>
    <w:rsid w:val="3CA32DC2"/>
    <w:rsid w:val="3CBC0226"/>
    <w:rsid w:val="3DB12122"/>
    <w:rsid w:val="3DFE269F"/>
    <w:rsid w:val="3E0E6961"/>
    <w:rsid w:val="3EBB7322"/>
    <w:rsid w:val="3EFE1E7A"/>
    <w:rsid w:val="3F3F3A3C"/>
    <w:rsid w:val="3F424B14"/>
    <w:rsid w:val="3F546062"/>
    <w:rsid w:val="3F6D22CF"/>
    <w:rsid w:val="3FDD6F27"/>
    <w:rsid w:val="406E1939"/>
    <w:rsid w:val="40EB4D37"/>
    <w:rsid w:val="415F6D98"/>
    <w:rsid w:val="41780CC1"/>
    <w:rsid w:val="41B906EA"/>
    <w:rsid w:val="41FF6578"/>
    <w:rsid w:val="427262DF"/>
    <w:rsid w:val="42E870E3"/>
    <w:rsid w:val="43361A71"/>
    <w:rsid w:val="43E00D52"/>
    <w:rsid w:val="43E2627D"/>
    <w:rsid w:val="44387F8A"/>
    <w:rsid w:val="44650D7A"/>
    <w:rsid w:val="459E681C"/>
    <w:rsid w:val="45EC3A2B"/>
    <w:rsid w:val="460C0F5B"/>
    <w:rsid w:val="463F7FFF"/>
    <w:rsid w:val="46431172"/>
    <w:rsid w:val="467253BC"/>
    <w:rsid w:val="4783660C"/>
    <w:rsid w:val="47BF4402"/>
    <w:rsid w:val="482241B2"/>
    <w:rsid w:val="48631F5A"/>
    <w:rsid w:val="486743B8"/>
    <w:rsid w:val="488D6F50"/>
    <w:rsid w:val="496E4725"/>
    <w:rsid w:val="49B7261C"/>
    <w:rsid w:val="4B0E5871"/>
    <w:rsid w:val="4B3728A4"/>
    <w:rsid w:val="4BC1459E"/>
    <w:rsid w:val="4BF56729"/>
    <w:rsid w:val="4BFB6776"/>
    <w:rsid w:val="4D144D0B"/>
    <w:rsid w:val="4D55482E"/>
    <w:rsid w:val="4DDF2965"/>
    <w:rsid w:val="4E3A17F8"/>
    <w:rsid w:val="4EC512BE"/>
    <w:rsid w:val="4EE755BE"/>
    <w:rsid w:val="4EFB6A8D"/>
    <w:rsid w:val="4F02606E"/>
    <w:rsid w:val="4F0F7C59"/>
    <w:rsid w:val="4F111E0D"/>
    <w:rsid w:val="4F42005F"/>
    <w:rsid w:val="4FFFDDC5"/>
    <w:rsid w:val="500B71A4"/>
    <w:rsid w:val="502F0878"/>
    <w:rsid w:val="504246FA"/>
    <w:rsid w:val="504F35AF"/>
    <w:rsid w:val="507D7410"/>
    <w:rsid w:val="50E90EBB"/>
    <w:rsid w:val="516C6679"/>
    <w:rsid w:val="51CC64BF"/>
    <w:rsid w:val="51D143B6"/>
    <w:rsid w:val="51EF237A"/>
    <w:rsid w:val="52F12681"/>
    <w:rsid w:val="538B137A"/>
    <w:rsid w:val="54104124"/>
    <w:rsid w:val="54275217"/>
    <w:rsid w:val="54866DF9"/>
    <w:rsid w:val="54C61D07"/>
    <w:rsid w:val="55B752F9"/>
    <w:rsid w:val="567E4E1C"/>
    <w:rsid w:val="56C65BD3"/>
    <w:rsid w:val="56DB78D0"/>
    <w:rsid w:val="57B63E99"/>
    <w:rsid w:val="58575BCF"/>
    <w:rsid w:val="58EA3AA3"/>
    <w:rsid w:val="591B0370"/>
    <w:rsid w:val="59897D2C"/>
    <w:rsid w:val="5AA33770"/>
    <w:rsid w:val="5AB60996"/>
    <w:rsid w:val="5AF73CF8"/>
    <w:rsid w:val="5B10566E"/>
    <w:rsid w:val="5B49411D"/>
    <w:rsid w:val="5B4F43E9"/>
    <w:rsid w:val="5BA77879"/>
    <w:rsid w:val="5C23115C"/>
    <w:rsid w:val="5C7D31D8"/>
    <w:rsid w:val="5CAF4A21"/>
    <w:rsid w:val="5CED6BB0"/>
    <w:rsid w:val="5D291EC2"/>
    <w:rsid w:val="5D4D3525"/>
    <w:rsid w:val="5DA1028B"/>
    <w:rsid w:val="5DAA13C6"/>
    <w:rsid w:val="5DAC3283"/>
    <w:rsid w:val="5DCA1A59"/>
    <w:rsid w:val="5E176615"/>
    <w:rsid w:val="5E31385C"/>
    <w:rsid w:val="5E850121"/>
    <w:rsid w:val="5E9A6414"/>
    <w:rsid w:val="5E9F6AAD"/>
    <w:rsid w:val="5EE7701A"/>
    <w:rsid w:val="5F9A7BFD"/>
    <w:rsid w:val="5FDA0F3B"/>
    <w:rsid w:val="5FDC0E1C"/>
    <w:rsid w:val="60116111"/>
    <w:rsid w:val="609B2F18"/>
    <w:rsid w:val="60BF1C24"/>
    <w:rsid w:val="60DE3F62"/>
    <w:rsid w:val="6189617B"/>
    <w:rsid w:val="61C7411F"/>
    <w:rsid w:val="61E671FB"/>
    <w:rsid w:val="61F47A98"/>
    <w:rsid w:val="623C7A31"/>
    <w:rsid w:val="623E08C4"/>
    <w:rsid w:val="62740F21"/>
    <w:rsid w:val="6277467E"/>
    <w:rsid w:val="62BD4F47"/>
    <w:rsid w:val="62E06F52"/>
    <w:rsid w:val="6316638F"/>
    <w:rsid w:val="634D7F82"/>
    <w:rsid w:val="636B3D8A"/>
    <w:rsid w:val="642A71B1"/>
    <w:rsid w:val="646F3406"/>
    <w:rsid w:val="64B81251"/>
    <w:rsid w:val="6580032B"/>
    <w:rsid w:val="65A92EF3"/>
    <w:rsid w:val="671826E7"/>
    <w:rsid w:val="67264674"/>
    <w:rsid w:val="67875340"/>
    <w:rsid w:val="68C97935"/>
    <w:rsid w:val="68FF3F18"/>
    <w:rsid w:val="69586B5E"/>
    <w:rsid w:val="69C20B38"/>
    <w:rsid w:val="69C51D1A"/>
    <w:rsid w:val="6A1E0114"/>
    <w:rsid w:val="6A27315D"/>
    <w:rsid w:val="6A2E0202"/>
    <w:rsid w:val="6AB26742"/>
    <w:rsid w:val="6AB66F48"/>
    <w:rsid w:val="6AC46851"/>
    <w:rsid w:val="6B2F38EF"/>
    <w:rsid w:val="6B6772DD"/>
    <w:rsid w:val="6BEA5D79"/>
    <w:rsid w:val="6C083065"/>
    <w:rsid w:val="6C3D64DF"/>
    <w:rsid w:val="6C5E4060"/>
    <w:rsid w:val="6CCB3D0D"/>
    <w:rsid w:val="6CFF4E40"/>
    <w:rsid w:val="6D920165"/>
    <w:rsid w:val="6DC801D9"/>
    <w:rsid w:val="6EE174CF"/>
    <w:rsid w:val="6F026F67"/>
    <w:rsid w:val="70C140D2"/>
    <w:rsid w:val="71790B4D"/>
    <w:rsid w:val="717D2594"/>
    <w:rsid w:val="71912880"/>
    <w:rsid w:val="71D66B2D"/>
    <w:rsid w:val="72B1673E"/>
    <w:rsid w:val="72DC044B"/>
    <w:rsid w:val="72E32122"/>
    <w:rsid w:val="735A34D3"/>
    <w:rsid w:val="73AA65D7"/>
    <w:rsid w:val="74423381"/>
    <w:rsid w:val="74836769"/>
    <w:rsid w:val="7499002B"/>
    <w:rsid w:val="74C46742"/>
    <w:rsid w:val="74FD2151"/>
    <w:rsid w:val="753F5076"/>
    <w:rsid w:val="75892ABB"/>
    <w:rsid w:val="75B233ED"/>
    <w:rsid w:val="75B33769"/>
    <w:rsid w:val="75E0022C"/>
    <w:rsid w:val="764D2701"/>
    <w:rsid w:val="76F75CB5"/>
    <w:rsid w:val="77B37656"/>
    <w:rsid w:val="77CA5437"/>
    <w:rsid w:val="78120820"/>
    <w:rsid w:val="782F13D2"/>
    <w:rsid w:val="783E72F3"/>
    <w:rsid w:val="784E7103"/>
    <w:rsid w:val="78BF48E1"/>
    <w:rsid w:val="79007DEE"/>
    <w:rsid w:val="79A5168C"/>
    <w:rsid w:val="7A10700A"/>
    <w:rsid w:val="7A241883"/>
    <w:rsid w:val="7A5944E4"/>
    <w:rsid w:val="7A7E219D"/>
    <w:rsid w:val="7AC97FFF"/>
    <w:rsid w:val="7B0E3521"/>
    <w:rsid w:val="7BC03E95"/>
    <w:rsid w:val="7BD16C7A"/>
    <w:rsid w:val="7BD81D81"/>
    <w:rsid w:val="7C213AD6"/>
    <w:rsid w:val="7C6070A0"/>
    <w:rsid w:val="7C745605"/>
    <w:rsid w:val="7C8F38AA"/>
    <w:rsid w:val="7CC72D2D"/>
    <w:rsid w:val="7CD22C84"/>
    <w:rsid w:val="7D0E7C07"/>
    <w:rsid w:val="7DB17657"/>
    <w:rsid w:val="7DDA3AE2"/>
    <w:rsid w:val="7E260318"/>
    <w:rsid w:val="7E6D39AE"/>
    <w:rsid w:val="7ECE417E"/>
    <w:rsid w:val="7EE747B5"/>
    <w:rsid w:val="7F25630A"/>
    <w:rsid w:val="7F8719E6"/>
    <w:rsid w:val="7FAE7090"/>
    <w:rsid w:val="7FCF2CB1"/>
    <w:rsid w:val="7FDC2F38"/>
    <w:rsid w:val="FB47F465"/>
    <w:rsid w:val="FF7B8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qFormat="1" w:uiPriority="99" w:name="footnote text"/>
    <w:lsdException w:qFormat="1" w:uiPriority="99" w:name="annotation text"/>
    <w:lsdException w:qFormat="1" w:uiPriority="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9"/>
    <w:qFormat/>
    <w:uiPriority w:val="9"/>
    <w:pPr>
      <w:spacing w:beforeAutospacing="1" w:afterAutospacing="1"/>
      <w:outlineLvl w:val="0"/>
    </w:pPr>
    <w:rPr>
      <w:rFonts w:hint="eastAsia" w:ascii="宋体" w:hAnsi="宋体" w:eastAsia="宋体" w:cs="Times New Roman"/>
      <w:b/>
      <w:kern w:val="44"/>
      <w:sz w:val="48"/>
      <w:szCs w:val="48"/>
    </w:rPr>
  </w:style>
  <w:style w:type="paragraph" w:styleId="4">
    <w:name w:val="heading 2"/>
    <w:basedOn w:val="1"/>
    <w:next w:val="1"/>
    <w:link w:val="30"/>
    <w:qFormat/>
    <w:uiPriority w:val="9"/>
    <w:pPr>
      <w:spacing w:before="100" w:beforeAutospacing="1" w:after="100" w:afterAutospacing="1"/>
      <w:outlineLvl w:val="1"/>
    </w:pPr>
    <w:rPr>
      <w:rFonts w:ascii="宋体" w:hAnsi="宋体" w:eastAsia="宋体" w:cs="宋体"/>
      <w:b/>
      <w:bCs/>
      <w:sz w:val="36"/>
      <w:szCs w:val="36"/>
    </w:rPr>
  </w:style>
  <w:style w:type="paragraph" w:styleId="5">
    <w:name w:val="heading 3"/>
    <w:basedOn w:val="1"/>
    <w:next w:val="1"/>
    <w:link w:val="31"/>
    <w:unhideWhenUsed/>
    <w:qFormat/>
    <w:uiPriority w:val="0"/>
    <w:pPr>
      <w:keepNext/>
      <w:keepLines/>
      <w:spacing w:before="260" w:after="260" w:line="415" w:lineRule="auto"/>
      <w:outlineLvl w:val="2"/>
    </w:pPr>
    <w:rPr>
      <w:rFonts w:ascii="Times New Roman" w:hAnsi="Times New Roman" w:cs="Times New Roman"/>
      <w:b/>
      <w:bCs/>
      <w:kern w:val="0"/>
      <w:sz w:val="32"/>
      <w:szCs w:val="32"/>
    </w:rPr>
  </w:style>
  <w:style w:type="paragraph" w:styleId="6">
    <w:name w:val="heading 4"/>
    <w:basedOn w:val="1"/>
    <w:next w:val="1"/>
    <w:link w:val="32"/>
    <w:semiHidden/>
    <w:unhideWhenUsed/>
    <w:qFormat/>
    <w:uiPriority w:val="0"/>
    <w:pPr>
      <w:numPr>
        <w:ilvl w:val="3"/>
        <w:numId w:val="1"/>
      </w:numPr>
      <w:outlineLvl w:val="3"/>
    </w:pPr>
    <w:rPr>
      <w:rFonts w:ascii="Times New Roman" w:hAnsi="Times New Roman" w:eastAsia="仿宋_GB2312" w:cs="Times New Roman"/>
      <w:b/>
      <w:sz w:val="32"/>
      <w:szCs w:val="32"/>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1"/>
    <w:qFormat/>
    <w:uiPriority w:val="0"/>
    <w:pPr>
      <w:spacing w:before="100" w:beforeAutospacing="1" w:after="100" w:afterAutospacing="1"/>
      <w:ind w:left="200" w:leftChars="200" w:firstLine="420"/>
    </w:pPr>
    <w:rPr>
      <w:rFonts w:ascii="仿宋_GB2312"/>
      <w:szCs w:val="32"/>
    </w:rPr>
  </w:style>
  <w:style w:type="paragraph" w:styleId="7">
    <w:name w:val="Normal Indent"/>
    <w:basedOn w:val="1"/>
    <w:semiHidden/>
    <w:unhideWhenUsed/>
    <w:qFormat/>
    <w:uiPriority w:val="0"/>
    <w:pPr>
      <w:ind w:firstLine="200" w:firstLineChars="200"/>
    </w:pPr>
    <w:rPr>
      <w:rFonts w:eastAsia="仿宋"/>
      <w:sz w:val="32"/>
    </w:rPr>
  </w:style>
  <w:style w:type="paragraph" w:styleId="8">
    <w:name w:val="caption"/>
    <w:basedOn w:val="1"/>
    <w:next w:val="1"/>
    <w:semiHidden/>
    <w:unhideWhenUsed/>
    <w:qFormat/>
    <w:uiPriority w:val="0"/>
    <w:rPr>
      <w:rFonts w:ascii="Cambria" w:hAnsi="Cambria" w:eastAsia="黑体" w:cs="Times New Roman"/>
      <w:sz w:val="20"/>
      <w:szCs w:val="20"/>
    </w:rPr>
  </w:style>
  <w:style w:type="paragraph" w:styleId="9">
    <w:name w:val="annotation text"/>
    <w:basedOn w:val="1"/>
    <w:link w:val="42"/>
    <w:semiHidden/>
    <w:unhideWhenUsed/>
    <w:qFormat/>
    <w:uiPriority w:val="99"/>
    <w:pPr>
      <w:jc w:val="left"/>
    </w:pPr>
    <w:rPr>
      <w:rFonts w:cs="Times New Roman"/>
    </w:rPr>
  </w:style>
  <w:style w:type="paragraph" w:styleId="10">
    <w:name w:val="Body Text"/>
    <w:basedOn w:val="1"/>
    <w:link w:val="43"/>
    <w:semiHidden/>
    <w:unhideWhenUsed/>
    <w:qFormat/>
    <w:uiPriority w:val="0"/>
    <w:rPr>
      <w:sz w:val="28"/>
    </w:rPr>
  </w:style>
  <w:style w:type="paragraph" w:styleId="11">
    <w:name w:val="Body Text Indent"/>
    <w:basedOn w:val="1"/>
    <w:next w:val="7"/>
    <w:link w:val="44"/>
    <w:semiHidden/>
    <w:unhideWhenUsed/>
    <w:qFormat/>
    <w:uiPriority w:val="99"/>
    <w:pPr>
      <w:ind w:firstLine="538" w:firstLineChars="168"/>
    </w:pPr>
    <w:rPr>
      <w:rFonts w:ascii="Times New Roman" w:hAnsi="Times New Roman" w:eastAsia="仿宋_GB2312" w:cs="Times New Roman"/>
      <w:sz w:val="32"/>
      <w:szCs w:val="20"/>
    </w:rPr>
  </w:style>
  <w:style w:type="paragraph" w:styleId="12">
    <w:name w:val="toc 3"/>
    <w:basedOn w:val="1"/>
    <w:next w:val="1"/>
    <w:semiHidden/>
    <w:unhideWhenUsed/>
    <w:qFormat/>
    <w:uiPriority w:val="39"/>
    <w:pPr>
      <w:ind w:left="840" w:leftChars="400"/>
    </w:pPr>
  </w:style>
  <w:style w:type="paragraph" w:styleId="13">
    <w:name w:val="Date"/>
    <w:basedOn w:val="1"/>
    <w:next w:val="1"/>
    <w:link w:val="35"/>
    <w:semiHidden/>
    <w:unhideWhenUsed/>
    <w:qFormat/>
    <w:uiPriority w:val="99"/>
    <w:pPr>
      <w:ind w:left="100" w:leftChars="2500"/>
    </w:pPr>
    <w:rPr>
      <w:rFonts w:eastAsia="宋体" w:cs="Times New Roman"/>
      <w:sz w:val="20"/>
      <w:szCs w:val="20"/>
    </w:rPr>
  </w:style>
  <w:style w:type="paragraph" w:styleId="14">
    <w:name w:val="Body Text Indent 2"/>
    <w:next w:val="1"/>
    <w:link w:val="46"/>
    <w:semiHidden/>
    <w:unhideWhenUsed/>
    <w:qFormat/>
    <w:uiPriority w:val="0"/>
    <w:pPr>
      <w:widowControl w:val="0"/>
      <w:adjustRightInd w:val="0"/>
      <w:spacing w:line="360" w:lineRule="auto"/>
      <w:ind w:firstLine="420"/>
    </w:pPr>
    <w:rPr>
      <w:rFonts w:ascii="宋体" w:hAnsi="宋体" w:eastAsiaTheme="minorEastAsia" w:cstheme="minorBidi"/>
      <w:kern w:val="2"/>
      <w:sz w:val="21"/>
      <w:lang w:val="en-US" w:eastAsia="zh-CN" w:bidi="ar-SA"/>
    </w:rPr>
  </w:style>
  <w:style w:type="paragraph" w:styleId="15">
    <w:name w:val="Balloon Text"/>
    <w:basedOn w:val="1"/>
    <w:link w:val="36"/>
    <w:semiHidden/>
    <w:unhideWhenUsed/>
    <w:qFormat/>
    <w:uiPriority w:val="99"/>
    <w:rPr>
      <w:rFonts w:eastAsia="宋体" w:cs="Times New Roman"/>
      <w:sz w:val="18"/>
      <w:szCs w:val="18"/>
    </w:rPr>
  </w:style>
  <w:style w:type="paragraph" w:styleId="16">
    <w:name w:val="footer"/>
    <w:basedOn w:val="1"/>
    <w:link w:val="34"/>
    <w:unhideWhenUsed/>
    <w:qFormat/>
    <w:uiPriority w:val="99"/>
    <w:pPr>
      <w:tabs>
        <w:tab w:val="center" w:pos="4153"/>
        <w:tab w:val="right" w:pos="8306"/>
      </w:tabs>
    </w:pPr>
    <w:rPr>
      <w:rFonts w:eastAsia="宋体" w:cs="Times New Roman"/>
      <w:sz w:val="18"/>
      <w:szCs w:val="18"/>
    </w:rPr>
  </w:style>
  <w:style w:type="paragraph" w:styleId="17">
    <w:name w:val="header"/>
    <w:basedOn w:val="1"/>
    <w:link w:val="33"/>
    <w:semiHidden/>
    <w:unhideWhenUsed/>
    <w:qFormat/>
    <w:uiPriority w:val="0"/>
    <w:pPr>
      <w:pBdr>
        <w:bottom w:val="single" w:color="auto" w:sz="6" w:space="1"/>
      </w:pBdr>
      <w:tabs>
        <w:tab w:val="center" w:pos="4153"/>
        <w:tab w:val="right" w:pos="8306"/>
      </w:tabs>
      <w:jc w:val="center"/>
    </w:pPr>
    <w:rPr>
      <w:rFonts w:eastAsia="宋体" w:cs="Times New Roman"/>
      <w:sz w:val="18"/>
      <w:szCs w:val="18"/>
    </w:rPr>
  </w:style>
  <w:style w:type="paragraph" w:styleId="18">
    <w:name w:val="toc 1"/>
    <w:basedOn w:val="1"/>
    <w:next w:val="1"/>
    <w:semiHidden/>
    <w:unhideWhenUsed/>
    <w:qFormat/>
    <w:uiPriority w:val="39"/>
  </w:style>
  <w:style w:type="paragraph" w:styleId="19">
    <w:name w:val="footnote text"/>
    <w:basedOn w:val="1"/>
    <w:link w:val="41"/>
    <w:semiHidden/>
    <w:unhideWhenUsed/>
    <w:qFormat/>
    <w:uiPriority w:val="99"/>
    <w:pPr>
      <w:snapToGrid w:val="0"/>
      <w:jc w:val="left"/>
    </w:pPr>
    <w:rPr>
      <w:sz w:val="18"/>
      <w:szCs w:val="18"/>
    </w:rPr>
  </w:style>
  <w:style w:type="paragraph" w:styleId="20">
    <w:name w:val="toc 2"/>
    <w:basedOn w:val="1"/>
    <w:next w:val="1"/>
    <w:semiHidden/>
    <w:unhideWhenUsed/>
    <w:qFormat/>
    <w:uiPriority w:val="39"/>
    <w:pPr>
      <w:ind w:left="420" w:leftChars="200"/>
    </w:pPr>
  </w:style>
  <w:style w:type="paragraph" w:styleId="21">
    <w:name w:val="Normal (Web)"/>
    <w:basedOn w:val="1"/>
    <w:unhideWhenUsed/>
    <w:qFormat/>
    <w:uiPriority w:val="99"/>
    <w:pPr>
      <w:spacing w:before="100" w:beforeAutospacing="1" w:after="100" w:afterAutospacing="1"/>
    </w:pPr>
    <w:rPr>
      <w:rFonts w:ascii="宋体" w:hAnsi="宋体" w:eastAsia="宋体" w:cs="宋体"/>
      <w:sz w:val="24"/>
    </w:rPr>
  </w:style>
  <w:style w:type="paragraph" w:styleId="22">
    <w:name w:val="Body Text First Indent"/>
    <w:basedOn w:val="10"/>
    <w:qFormat/>
    <w:uiPriority w:val="99"/>
    <w:pPr>
      <w:ind w:firstLine="420" w:firstLineChars="100"/>
    </w:pPr>
  </w:style>
  <w:style w:type="paragraph" w:styleId="23">
    <w:name w:val="Body Text First Indent 2"/>
    <w:basedOn w:val="11"/>
    <w:link w:val="45"/>
    <w:unhideWhenUsed/>
    <w:qFormat/>
    <w:uiPriority w:val="99"/>
    <w:pPr>
      <w:ind w:firstLine="420" w:firstLineChars="200"/>
    </w:p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Hyperlink"/>
    <w:basedOn w:val="25"/>
    <w:semiHidden/>
    <w:unhideWhenUsed/>
    <w:qFormat/>
    <w:uiPriority w:val="99"/>
    <w:rPr>
      <w:color w:val="0000FF"/>
      <w:u w:val="single"/>
    </w:rPr>
  </w:style>
  <w:style w:type="character" w:customStyle="1" w:styleId="29">
    <w:name w:val="标题 1 Char"/>
    <w:basedOn w:val="25"/>
    <w:link w:val="3"/>
    <w:qFormat/>
    <w:uiPriority w:val="9"/>
    <w:rPr>
      <w:rFonts w:ascii="宋体" w:hAnsi="宋体"/>
      <w:b/>
      <w:kern w:val="44"/>
      <w:sz w:val="48"/>
      <w:szCs w:val="48"/>
    </w:rPr>
  </w:style>
  <w:style w:type="character" w:customStyle="1" w:styleId="30">
    <w:name w:val="标题 2 Char"/>
    <w:basedOn w:val="25"/>
    <w:link w:val="4"/>
    <w:qFormat/>
    <w:uiPriority w:val="9"/>
    <w:rPr>
      <w:rFonts w:ascii="宋体" w:hAnsi="宋体" w:eastAsia="宋体" w:cs="宋体"/>
      <w:b/>
      <w:bCs/>
      <w:sz w:val="36"/>
      <w:szCs w:val="36"/>
    </w:rPr>
  </w:style>
  <w:style w:type="character" w:customStyle="1" w:styleId="31">
    <w:name w:val="标题 3 Char"/>
    <w:basedOn w:val="25"/>
    <w:link w:val="5"/>
    <w:qFormat/>
    <w:uiPriority w:val="0"/>
    <w:rPr>
      <w:rFonts w:eastAsiaTheme="minorEastAsia"/>
      <w:b/>
      <w:bCs/>
      <w:sz w:val="32"/>
      <w:szCs w:val="32"/>
    </w:rPr>
  </w:style>
  <w:style w:type="character" w:customStyle="1" w:styleId="32">
    <w:name w:val="标题 4 Char"/>
    <w:basedOn w:val="25"/>
    <w:link w:val="6"/>
    <w:semiHidden/>
    <w:qFormat/>
    <w:uiPriority w:val="0"/>
    <w:rPr>
      <w:rFonts w:eastAsia="仿宋_GB2312"/>
      <w:b/>
      <w:kern w:val="2"/>
      <w:sz w:val="32"/>
      <w:szCs w:val="32"/>
    </w:rPr>
  </w:style>
  <w:style w:type="character" w:customStyle="1" w:styleId="33">
    <w:name w:val="页眉 Char"/>
    <w:basedOn w:val="25"/>
    <w:link w:val="17"/>
    <w:semiHidden/>
    <w:qFormat/>
    <w:uiPriority w:val="0"/>
    <w:rPr>
      <w:rFonts w:ascii="Tahoma" w:hAnsi="Tahoma"/>
      <w:sz w:val="18"/>
      <w:szCs w:val="18"/>
    </w:rPr>
  </w:style>
  <w:style w:type="character" w:customStyle="1" w:styleId="34">
    <w:name w:val="页脚 Char"/>
    <w:basedOn w:val="25"/>
    <w:link w:val="16"/>
    <w:qFormat/>
    <w:uiPriority w:val="99"/>
    <w:rPr>
      <w:rFonts w:ascii="Tahoma" w:hAnsi="Tahoma"/>
      <w:sz w:val="18"/>
      <w:szCs w:val="18"/>
    </w:rPr>
  </w:style>
  <w:style w:type="character" w:customStyle="1" w:styleId="35">
    <w:name w:val="日期 Char"/>
    <w:basedOn w:val="25"/>
    <w:link w:val="13"/>
    <w:semiHidden/>
    <w:qFormat/>
    <w:uiPriority w:val="99"/>
    <w:rPr>
      <w:rFonts w:ascii="Tahoma" w:hAnsi="Tahoma"/>
    </w:rPr>
  </w:style>
  <w:style w:type="character" w:customStyle="1" w:styleId="36">
    <w:name w:val="批注框文本 Char"/>
    <w:basedOn w:val="25"/>
    <w:link w:val="15"/>
    <w:semiHidden/>
    <w:qFormat/>
    <w:uiPriority w:val="99"/>
    <w:rPr>
      <w:rFonts w:ascii="Tahoma" w:hAnsi="Tahoma"/>
      <w:sz w:val="18"/>
      <w:szCs w:val="18"/>
    </w:rPr>
  </w:style>
  <w:style w:type="paragraph" w:styleId="37">
    <w:name w:val="List Paragraph"/>
    <w:basedOn w:val="1"/>
    <w:qFormat/>
    <w:uiPriority w:val="34"/>
    <w:pPr>
      <w:ind w:firstLine="420" w:firstLineChars="200"/>
    </w:pPr>
  </w:style>
  <w:style w:type="paragraph" w:customStyle="1" w:styleId="38">
    <w:name w:val="TOC 标题1"/>
    <w:basedOn w:val="3"/>
    <w:next w:val="1"/>
    <w:semiHidden/>
    <w:unhideWhenUsed/>
    <w:qFormat/>
    <w:uiPriority w:val="39"/>
    <w:pPr>
      <w:keepNext/>
      <w:keepLines/>
      <w:spacing w:before="480" w:beforeAutospacing="0" w:afterAutospacing="0" w:line="276" w:lineRule="auto"/>
      <w:outlineLvl w:val="9"/>
    </w:pPr>
    <w:rPr>
      <w:rFonts w:hint="default" w:asciiTheme="majorHAnsi" w:hAnsiTheme="majorHAnsi" w:eastAsiaTheme="majorEastAsia" w:cstheme="majorBidi"/>
      <w:bCs/>
      <w:color w:val="376092" w:themeColor="accent1" w:themeShade="BF"/>
      <w:kern w:val="0"/>
      <w:sz w:val="28"/>
      <w:szCs w:val="28"/>
    </w:rPr>
  </w:style>
  <w:style w:type="paragraph" w:customStyle="1" w:styleId="39">
    <w:name w:val="style 正文"/>
    <w:basedOn w:val="1"/>
    <w:qFormat/>
    <w:uiPriority w:val="99"/>
    <w:rPr>
      <w:rFonts w:eastAsia="楷体_GB2312"/>
    </w:rPr>
  </w:style>
  <w:style w:type="character" w:customStyle="1" w:styleId="40">
    <w:name w:val="bjh-p"/>
    <w:basedOn w:val="25"/>
    <w:qFormat/>
    <w:uiPriority w:val="0"/>
  </w:style>
  <w:style w:type="character" w:customStyle="1" w:styleId="41">
    <w:name w:val="脚注文本 Char"/>
    <w:basedOn w:val="25"/>
    <w:link w:val="19"/>
    <w:semiHidden/>
    <w:qFormat/>
    <w:uiPriority w:val="99"/>
    <w:rPr>
      <w:rFonts w:asciiTheme="minorHAnsi" w:hAnsiTheme="minorHAnsi" w:eastAsiaTheme="minorEastAsia" w:cstheme="minorBidi"/>
      <w:kern w:val="2"/>
      <w:sz w:val="18"/>
      <w:szCs w:val="18"/>
    </w:rPr>
  </w:style>
  <w:style w:type="character" w:customStyle="1" w:styleId="42">
    <w:name w:val="批注文字 Char"/>
    <w:basedOn w:val="25"/>
    <w:link w:val="9"/>
    <w:semiHidden/>
    <w:qFormat/>
    <w:uiPriority w:val="99"/>
    <w:rPr>
      <w:rFonts w:asciiTheme="minorHAnsi" w:hAnsiTheme="minorHAnsi" w:eastAsiaTheme="minorEastAsia"/>
      <w:kern w:val="2"/>
      <w:sz w:val="21"/>
      <w:szCs w:val="24"/>
    </w:rPr>
  </w:style>
  <w:style w:type="character" w:customStyle="1" w:styleId="43">
    <w:name w:val="正文文本 Char"/>
    <w:basedOn w:val="25"/>
    <w:link w:val="10"/>
    <w:semiHidden/>
    <w:qFormat/>
    <w:uiPriority w:val="0"/>
    <w:rPr>
      <w:rFonts w:asciiTheme="minorHAnsi" w:hAnsiTheme="minorHAnsi" w:eastAsiaTheme="minorEastAsia" w:cstheme="minorBidi"/>
      <w:kern w:val="2"/>
      <w:sz w:val="28"/>
      <w:szCs w:val="24"/>
    </w:rPr>
  </w:style>
  <w:style w:type="character" w:customStyle="1" w:styleId="44">
    <w:name w:val="正文文本缩进 Char"/>
    <w:basedOn w:val="25"/>
    <w:link w:val="11"/>
    <w:semiHidden/>
    <w:qFormat/>
    <w:uiPriority w:val="99"/>
    <w:rPr>
      <w:rFonts w:eastAsia="仿宋_GB2312"/>
      <w:kern w:val="2"/>
      <w:sz w:val="32"/>
    </w:rPr>
  </w:style>
  <w:style w:type="character" w:customStyle="1" w:styleId="45">
    <w:name w:val="正文首行缩进 2 Char"/>
    <w:basedOn w:val="44"/>
    <w:link w:val="23"/>
    <w:qFormat/>
    <w:uiPriority w:val="99"/>
  </w:style>
  <w:style w:type="character" w:customStyle="1" w:styleId="46">
    <w:name w:val="正文文本缩进 2 Char"/>
    <w:basedOn w:val="25"/>
    <w:link w:val="14"/>
    <w:semiHidden/>
    <w:qFormat/>
    <w:uiPriority w:val="0"/>
    <w:rPr>
      <w:rFonts w:ascii="宋体" w:hAnsi="宋体" w:eastAsiaTheme="minorEastAsia" w:cstheme="minorBidi"/>
      <w:kern w:val="2"/>
      <w:sz w:val="21"/>
    </w:rPr>
  </w:style>
  <w:style w:type="paragraph" w:customStyle="1" w:styleId="47">
    <w:name w:val="样式1"/>
    <w:basedOn w:val="1"/>
    <w:qFormat/>
    <w:uiPriority w:val="0"/>
    <w:pPr>
      <w:ind w:firstLine="200" w:firstLineChars="200"/>
    </w:pPr>
  </w:style>
  <w:style w:type="paragraph" w:customStyle="1" w:styleId="48">
    <w:name w:val="标准文字"/>
    <w:basedOn w:val="1"/>
    <w:qFormat/>
    <w:uiPriority w:val="0"/>
    <w:pPr>
      <w:overflowPunct w:val="0"/>
      <w:spacing w:line="360" w:lineRule="auto"/>
      <w:ind w:firstLine="640" w:firstLineChars="200"/>
    </w:pPr>
    <w:rPr>
      <w:rFonts w:eastAsia="仿宋_GB2312"/>
      <w:sz w:val="32"/>
      <w:szCs w:val="32"/>
    </w:rPr>
  </w:style>
  <w:style w:type="character" w:customStyle="1" w:styleId="49">
    <w:name w:val="正文1 Char Char"/>
    <w:link w:val="50"/>
    <w:qFormat/>
    <w:locked/>
    <w:uiPriority w:val="0"/>
    <w:rPr>
      <w:rFonts w:asciiTheme="minorHAnsi" w:hAnsiTheme="minorHAnsi"/>
      <w:kern w:val="2"/>
      <w:sz w:val="28"/>
      <w:szCs w:val="24"/>
    </w:rPr>
  </w:style>
  <w:style w:type="paragraph" w:customStyle="1" w:styleId="50">
    <w:name w:val="正文1"/>
    <w:basedOn w:val="1"/>
    <w:link w:val="49"/>
    <w:qFormat/>
    <w:uiPriority w:val="0"/>
    <w:pPr>
      <w:spacing w:line="520" w:lineRule="exact"/>
      <w:jc w:val="left"/>
    </w:pPr>
    <w:rPr>
      <w:rFonts w:eastAsia="宋体" w:cs="Times New Roman"/>
      <w:sz w:val="28"/>
    </w:rPr>
  </w:style>
  <w:style w:type="character" w:customStyle="1" w:styleId="51">
    <w:name w:val="正文文本 (2)_"/>
    <w:basedOn w:val="25"/>
    <w:link w:val="52"/>
    <w:qFormat/>
    <w:locked/>
    <w:uiPriority w:val="99"/>
    <w:rPr>
      <w:rFonts w:ascii="宋体" w:hAnsi="宋体"/>
      <w:sz w:val="28"/>
      <w:shd w:val="clear" w:color="auto" w:fill="FFFFFF"/>
    </w:rPr>
  </w:style>
  <w:style w:type="paragraph" w:customStyle="1" w:styleId="52">
    <w:name w:val="正文文本 (2)"/>
    <w:basedOn w:val="1"/>
    <w:link w:val="51"/>
    <w:qFormat/>
    <w:uiPriority w:val="99"/>
    <w:pPr>
      <w:shd w:val="clear" w:color="auto" w:fill="FFFFFF"/>
      <w:spacing w:after="300" w:line="240" w:lineRule="atLeast"/>
      <w:jc w:val="center"/>
    </w:pPr>
    <w:rPr>
      <w:rFonts w:ascii="宋体" w:hAnsi="宋体" w:eastAsia="宋体" w:cs="Times New Roman"/>
      <w:kern w:val="0"/>
      <w:sz w:val="28"/>
      <w:szCs w:val="20"/>
    </w:rPr>
  </w:style>
  <w:style w:type="paragraph" w:customStyle="1" w:styleId="53">
    <w:name w:val="WPSOffice手动目录 1"/>
    <w:qFormat/>
    <w:uiPriority w:val="0"/>
    <w:rPr>
      <w:rFonts w:ascii="Calibri" w:hAnsi="Calibri" w:eastAsia="宋体" w:cs="Calibri"/>
      <w:lang w:val="en-US" w:eastAsia="zh-CN" w:bidi="ar-SA"/>
    </w:rPr>
  </w:style>
  <w:style w:type="paragraph" w:customStyle="1" w:styleId="54">
    <w:name w:val="WPSOffice手动目录 2"/>
    <w:qFormat/>
    <w:uiPriority w:val="0"/>
    <w:pPr>
      <w:ind w:left="200" w:leftChars="200"/>
    </w:pPr>
    <w:rPr>
      <w:rFonts w:ascii="Calibri" w:hAnsi="Calibri" w:eastAsia="宋体" w:cs="Calibri"/>
      <w:lang w:val="en-US" w:eastAsia="zh-CN" w:bidi="ar-SA"/>
    </w:rPr>
  </w:style>
  <w:style w:type="paragraph" w:customStyle="1" w:styleId="55">
    <w:name w:val="WPSOffice手动目录 3"/>
    <w:qFormat/>
    <w:uiPriority w:val="0"/>
    <w:pPr>
      <w:ind w:left="400" w:leftChars="400"/>
    </w:pPr>
    <w:rPr>
      <w:rFonts w:ascii="Calibri" w:hAnsi="Calibri" w:eastAsia="宋体" w:cs="Calibri"/>
      <w:lang w:val="en-US" w:eastAsia="zh-CN" w:bidi="ar-SA"/>
    </w:rPr>
  </w:style>
  <w:style w:type="paragraph" w:customStyle="1" w:styleId="56">
    <w:name w:val="辽宁纲要正文"/>
    <w:basedOn w:val="1"/>
    <w:qFormat/>
    <w:uiPriority w:val="0"/>
    <w:pPr>
      <w:spacing w:line="620" w:lineRule="exact"/>
      <w:ind w:firstLine="200" w:firstLineChars="200"/>
    </w:pPr>
    <w:rPr>
      <w:rFonts w:ascii="仿宋_GB2312" w:hAnsi="仿宋" w:eastAsia="仿宋_GB2312" w:cs="仿宋"/>
      <w:sz w:val="32"/>
      <w:szCs w:val="32"/>
    </w:rPr>
  </w:style>
  <w:style w:type="paragraph" w:customStyle="1" w:styleId="57">
    <w:name w:val="UserStyle_0"/>
    <w:basedOn w:val="1"/>
    <w:qFormat/>
    <w:uiPriority w:val="0"/>
    <w:pPr>
      <w:jc w:val="both"/>
      <w:textAlignment w:val="baseline"/>
    </w:pPr>
    <w:rPr>
      <w:rFonts w:ascii="Times New Roman" w:hAnsi="Times New Roman" w:eastAsia="宋体"/>
      <w:kern w:val="2"/>
      <w:sz w:val="32"/>
      <w:szCs w:val="24"/>
      <w:lang w:val="en-US" w:eastAsia="zh-CN" w:bidi="ar-SA"/>
    </w:rPr>
  </w:style>
  <w:style w:type="character" w:customStyle="1" w:styleId="58">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character" w:customStyle="1" w:styleId="59">
    <w:name w:val="font11"/>
    <w:basedOn w:val="25"/>
    <w:qFormat/>
    <w:uiPriority w:val="0"/>
    <w:rPr>
      <w:rFonts w:hint="eastAsia" w:ascii="宋体" w:hAnsi="宋体" w:eastAsia="宋体" w:cs="宋体"/>
      <w:color w:val="000000"/>
      <w:sz w:val="24"/>
      <w:szCs w:val="24"/>
      <w:u w:val="none"/>
    </w:rPr>
  </w:style>
  <w:style w:type="character" w:customStyle="1" w:styleId="60">
    <w:name w:val="font01"/>
    <w:basedOn w:val="25"/>
    <w:qFormat/>
    <w:uiPriority w:val="0"/>
    <w:rPr>
      <w:rFonts w:hint="eastAsia" w:ascii="宋体" w:hAnsi="宋体" w:eastAsia="宋体" w:cs="宋体"/>
      <w:color w:val="000000"/>
      <w:sz w:val="24"/>
      <w:szCs w:val="24"/>
      <w:u w:val="none"/>
    </w:rPr>
  </w:style>
  <w:style w:type="character" w:customStyle="1" w:styleId="61">
    <w:name w:val="font41"/>
    <w:basedOn w:val="25"/>
    <w:qFormat/>
    <w:uiPriority w:val="0"/>
    <w:rPr>
      <w:rFonts w:hint="eastAsia" w:ascii="宋体" w:hAnsi="宋体" w:eastAsia="宋体" w:cs="宋体"/>
      <w:color w:val="000000"/>
      <w:sz w:val="24"/>
      <w:szCs w:val="24"/>
      <w:u w:val="none"/>
      <w:vertAlign w:val="superscript"/>
    </w:rPr>
  </w:style>
  <w:style w:type="character" w:customStyle="1" w:styleId="62">
    <w:name w:val="font81"/>
    <w:basedOn w:val="25"/>
    <w:qFormat/>
    <w:uiPriority w:val="0"/>
    <w:rPr>
      <w:rFonts w:hint="eastAsia" w:ascii="宋体" w:hAnsi="宋体" w:eastAsia="宋体" w:cs="宋体"/>
      <w:color w:val="000000"/>
      <w:sz w:val="24"/>
      <w:szCs w:val="24"/>
      <w:u w:val="none"/>
    </w:rPr>
  </w:style>
  <w:style w:type="character" w:customStyle="1" w:styleId="63">
    <w:name w:val="font71"/>
    <w:basedOn w:val="2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49074</Words>
  <Characters>51060</Characters>
  <Lines>298</Lines>
  <Paragraphs>84</Paragraphs>
  <TotalTime>239</TotalTime>
  <ScaleCrop>false</ScaleCrop>
  <LinksUpToDate>false</LinksUpToDate>
  <CharactersWithSpaces>51238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2021-08-15T09:25:00Z</dcterms:created>
  <dc:creator>good</dc:creator>
  <cp:lastModifiedBy>fushunshi</cp:lastModifiedBy>
  <cp:lastPrinted>2023-02-25T01:24:00Z</cp:lastPrinted>
  <dcterms:modified xsi:type="dcterms:W3CDTF">2024-12-17T10:00:50Z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B9D086601465B916448486641090691F</vt:lpwstr>
  </property>
</Properties>
</file>