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C9D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bookmarkStart w:id="0" w:name="_GoBack"/>
      <w:bookmarkEnd w:id="0"/>
    </w:p>
    <w:p w14:paraId="7A9482A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5E5889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4CB593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3635027">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F88D1D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43080E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EDC62A">
      <w:pPr>
        <w:pStyle w:val="4"/>
        <w:keepNext w:val="0"/>
        <w:keepLines w:val="0"/>
        <w:widowControl/>
        <w:suppressLineNumbers w:val="0"/>
        <w:wordWrap w:val="0"/>
        <w:spacing w:before="0" w:beforeAutospacing="0" w:after="0" w:afterAutospacing="0" w:line="315" w:lineRule="atLeast"/>
        <w:ind w:right="0"/>
        <w:jc w:val="center"/>
        <w:rPr>
          <w:rFonts w:hint="default" w:ascii="宋体" w:hAnsi="宋体" w:eastAsia="宋体" w:cs="宋体"/>
          <w:b/>
          <w:bCs/>
          <w:color w:val="auto"/>
          <w:sz w:val="40"/>
          <w:szCs w:val="40"/>
          <w:lang w:val="en-US" w:eastAsia="zh-CN"/>
        </w:rPr>
      </w:pPr>
      <w:r>
        <w:rPr>
          <w:rFonts w:hint="eastAsia" w:eastAsia="宋体" w:cs="宋体"/>
          <w:b/>
          <w:bCs/>
          <w:color w:val="auto"/>
          <w:sz w:val="40"/>
          <w:szCs w:val="40"/>
          <w:lang w:eastAsia="zh-CN"/>
        </w:rPr>
        <w:t>抚顺市林业和草原局</w:t>
      </w:r>
      <w:r>
        <w:rPr>
          <w:rFonts w:hint="eastAsia" w:eastAsia="宋体" w:cs="宋体"/>
          <w:b/>
          <w:bCs/>
          <w:color w:val="auto"/>
          <w:sz w:val="40"/>
          <w:szCs w:val="40"/>
          <w:lang w:val="en-US" w:eastAsia="zh-CN"/>
        </w:rPr>
        <w:t>2025年度部门预算</w:t>
      </w:r>
    </w:p>
    <w:p w14:paraId="3DBD545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AED99B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F6B993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4AE4E1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096296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2C856BD">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0E75123">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5C7441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C9702FA">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537633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50CDF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C23B81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FBAE07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E6C4CB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5AC7E7E">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52456ADC">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r>
        <w:rPr>
          <w:rFonts w:hint="eastAsia" w:eastAsia="宋体" w:cs="宋体"/>
          <w:b/>
          <w:bCs/>
          <w:color w:val="auto"/>
          <w:sz w:val="30"/>
          <w:szCs w:val="30"/>
          <w:lang w:eastAsia="zh-CN"/>
        </w:rPr>
        <w:t>目</w:t>
      </w:r>
      <w:r>
        <w:rPr>
          <w:rFonts w:hint="eastAsia" w:eastAsia="宋体" w:cs="宋体"/>
          <w:b/>
          <w:bCs/>
          <w:color w:val="auto"/>
          <w:sz w:val="30"/>
          <w:szCs w:val="30"/>
          <w:lang w:val="en-US" w:eastAsia="zh-CN"/>
        </w:rPr>
        <w:t xml:space="preserve">   </w:t>
      </w:r>
      <w:r>
        <w:rPr>
          <w:rFonts w:hint="eastAsia" w:eastAsia="宋体" w:cs="宋体"/>
          <w:b/>
          <w:bCs/>
          <w:color w:val="auto"/>
          <w:sz w:val="30"/>
          <w:szCs w:val="30"/>
          <w:lang w:eastAsia="zh-CN"/>
        </w:rPr>
        <w:t>录</w:t>
      </w:r>
    </w:p>
    <w:p w14:paraId="5134F4D8">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3B4FC03B">
      <w:pPr>
        <w:pStyle w:val="4"/>
        <w:keepNext w:val="0"/>
        <w:keepLines w:val="0"/>
        <w:widowControl/>
        <w:suppressLineNumbers w:val="0"/>
        <w:wordWrap w:val="0"/>
        <w:spacing w:before="0" w:beforeAutospacing="0" w:after="0" w:afterAutospacing="0" w:line="315" w:lineRule="atLeast"/>
        <w:ind w:left="0" w:right="0" w:firstLine="420"/>
        <w:rPr>
          <w:rFonts w:hint="default" w:ascii="宋体" w:hAnsi="宋体" w:eastAsia="宋体" w:cs="宋体"/>
          <w:b/>
          <w:bCs/>
          <w:color w:val="auto"/>
          <w:sz w:val="30"/>
          <w:szCs w:val="30"/>
          <w:lang w:val="en-US" w:eastAsia="zh-CN"/>
        </w:rPr>
      </w:pPr>
      <w:r>
        <w:rPr>
          <w:rFonts w:hint="eastAsia" w:eastAsia="宋体" w:cs="宋体"/>
          <w:b/>
          <w:bCs/>
          <w:color w:val="auto"/>
          <w:sz w:val="30"/>
          <w:szCs w:val="30"/>
          <w:lang w:eastAsia="zh-CN"/>
        </w:rPr>
        <w:t>第一部分</w:t>
      </w:r>
      <w:r>
        <w:rPr>
          <w:rFonts w:hint="eastAsia" w:eastAsia="宋体" w:cs="宋体"/>
          <w:b/>
          <w:bCs/>
          <w:color w:val="auto"/>
          <w:sz w:val="30"/>
          <w:szCs w:val="30"/>
          <w:lang w:val="en-US" w:eastAsia="zh-CN"/>
        </w:rPr>
        <w:t xml:space="preserve"> 部门预算公开管理文件</w:t>
      </w:r>
    </w:p>
    <w:p w14:paraId="340588B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二</w:t>
      </w:r>
      <w:r>
        <w:rPr>
          <w:rFonts w:hint="eastAsia" w:ascii="宋体" w:hAnsi="宋体" w:eastAsia="宋体" w:cs="宋体"/>
          <w:b/>
          <w:bCs/>
          <w:color w:val="auto"/>
          <w:sz w:val="30"/>
          <w:szCs w:val="30"/>
        </w:rPr>
        <w:t>部分 部门概况</w:t>
      </w:r>
    </w:p>
    <w:p w14:paraId="78176720">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一、部门主要职能</w:t>
      </w:r>
    </w:p>
    <w:p w14:paraId="14C77E5F">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二、部门预算单位构成</w:t>
      </w:r>
    </w:p>
    <w:p w14:paraId="70CBAF0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三</w:t>
      </w:r>
      <w:r>
        <w:rPr>
          <w:rFonts w:hint="eastAsia" w:ascii="宋体" w:hAnsi="宋体" w:eastAsia="宋体" w:cs="宋体"/>
          <w:b/>
          <w:bCs/>
          <w:color w:val="auto"/>
          <w:sz w:val="30"/>
          <w:szCs w:val="30"/>
        </w:rPr>
        <w:t>部分2025年部门预算表</w:t>
      </w:r>
    </w:p>
    <w:p w14:paraId="4D883304">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一、</w:t>
      </w:r>
      <w:r>
        <w:rPr>
          <w:rFonts w:hint="eastAsia" w:eastAsia="宋体" w:cs="宋体"/>
          <w:color w:val="auto"/>
          <w:sz w:val="30"/>
          <w:szCs w:val="30"/>
          <w:lang w:eastAsia="zh-CN"/>
        </w:rPr>
        <w:t>2025</w:t>
      </w:r>
      <w:r>
        <w:rPr>
          <w:rFonts w:hint="eastAsia" w:ascii="宋体" w:hAnsi="宋体" w:eastAsia="宋体" w:cs="宋体"/>
          <w:color w:val="auto"/>
          <w:sz w:val="30"/>
          <w:szCs w:val="30"/>
        </w:rPr>
        <w:t>年部门收支总体情况表</w:t>
      </w:r>
    </w:p>
    <w:p w14:paraId="2302591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二、</w:t>
      </w:r>
      <w:r>
        <w:rPr>
          <w:rFonts w:hint="eastAsia" w:eastAsia="宋体" w:cs="宋体"/>
          <w:color w:val="auto"/>
          <w:sz w:val="30"/>
          <w:szCs w:val="30"/>
          <w:lang w:eastAsia="zh-CN"/>
        </w:rPr>
        <w:t>2025</w:t>
      </w:r>
      <w:r>
        <w:rPr>
          <w:rFonts w:hint="eastAsia" w:ascii="宋体" w:hAnsi="宋体" w:eastAsia="宋体" w:cs="宋体"/>
          <w:color w:val="auto"/>
          <w:sz w:val="30"/>
          <w:szCs w:val="30"/>
        </w:rPr>
        <w:t>年部门收入总体情况表</w:t>
      </w:r>
    </w:p>
    <w:p w14:paraId="4CCB6AF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三、</w:t>
      </w:r>
      <w:r>
        <w:rPr>
          <w:rFonts w:hint="eastAsia" w:eastAsia="宋体" w:cs="宋体"/>
          <w:color w:val="auto"/>
          <w:sz w:val="30"/>
          <w:szCs w:val="30"/>
          <w:lang w:eastAsia="zh-CN"/>
        </w:rPr>
        <w:t>2025</w:t>
      </w:r>
      <w:r>
        <w:rPr>
          <w:rFonts w:hint="eastAsia" w:ascii="宋体" w:hAnsi="宋体" w:eastAsia="宋体" w:cs="宋体"/>
          <w:color w:val="auto"/>
          <w:sz w:val="30"/>
          <w:szCs w:val="30"/>
        </w:rPr>
        <w:t>年部门支出总体情况表</w:t>
      </w:r>
    </w:p>
    <w:p w14:paraId="446BBAC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四、</w:t>
      </w:r>
      <w:r>
        <w:rPr>
          <w:rFonts w:hint="eastAsia" w:eastAsia="宋体" w:cs="宋体"/>
          <w:color w:val="auto"/>
          <w:sz w:val="30"/>
          <w:szCs w:val="30"/>
          <w:lang w:eastAsia="zh-CN"/>
        </w:rPr>
        <w:t>2025</w:t>
      </w:r>
      <w:r>
        <w:rPr>
          <w:rFonts w:hint="eastAsia" w:ascii="宋体" w:hAnsi="宋体" w:eastAsia="宋体" w:cs="宋体"/>
          <w:color w:val="auto"/>
          <w:sz w:val="30"/>
          <w:szCs w:val="30"/>
        </w:rPr>
        <w:t>年部门财政拨款收支总体情况表</w:t>
      </w:r>
    </w:p>
    <w:p w14:paraId="6FD7010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五、</w:t>
      </w:r>
      <w:r>
        <w:rPr>
          <w:rFonts w:hint="eastAsia" w:eastAsia="宋体" w:cs="宋体"/>
          <w:color w:val="auto"/>
          <w:sz w:val="30"/>
          <w:szCs w:val="30"/>
          <w:lang w:eastAsia="zh-CN"/>
        </w:rPr>
        <w:t>2025</w:t>
      </w:r>
      <w:r>
        <w:rPr>
          <w:rFonts w:hint="eastAsia" w:ascii="宋体" w:hAnsi="宋体" w:eastAsia="宋体" w:cs="宋体"/>
          <w:color w:val="auto"/>
          <w:sz w:val="30"/>
          <w:szCs w:val="30"/>
        </w:rPr>
        <w:t>年部门一般公共预算支出情况表</w:t>
      </w:r>
    </w:p>
    <w:p w14:paraId="18E2EF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六、</w:t>
      </w:r>
      <w:r>
        <w:rPr>
          <w:rFonts w:hint="eastAsia" w:eastAsia="宋体" w:cs="宋体"/>
          <w:color w:val="auto"/>
          <w:sz w:val="30"/>
          <w:szCs w:val="30"/>
          <w:lang w:eastAsia="zh-CN"/>
        </w:rPr>
        <w:t>2025</w:t>
      </w:r>
      <w:r>
        <w:rPr>
          <w:rFonts w:hint="eastAsia" w:ascii="宋体" w:hAnsi="宋体" w:eastAsia="宋体" w:cs="宋体"/>
          <w:color w:val="auto"/>
          <w:sz w:val="30"/>
          <w:szCs w:val="30"/>
        </w:rPr>
        <w:t>年部门一般公共预算基本支出情况表</w:t>
      </w:r>
    </w:p>
    <w:p w14:paraId="39B5ED7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七、</w:t>
      </w:r>
      <w:r>
        <w:rPr>
          <w:rFonts w:hint="eastAsia" w:eastAsia="宋体" w:cs="宋体"/>
          <w:color w:val="auto"/>
          <w:sz w:val="30"/>
          <w:szCs w:val="30"/>
          <w:lang w:eastAsia="zh-CN"/>
        </w:rPr>
        <w:t>2025</w:t>
      </w:r>
      <w:r>
        <w:rPr>
          <w:rFonts w:hint="eastAsia" w:ascii="宋体" w:hAnsi="宋体" w:eastAsia="宋体" w:cs="宋体"/>
          <w:color w:val="auto"/>
          <w:sz w:val="30"/>
          <w:szCs w:val="30"/>
        </w:rPr>
        <w:t>年</w:t>
      </w:r>
      <w:r>
        <w:rPr>
          <w:rFonts w:hint="eastAsia" w:eastAsia="宋体" w:cs="宋体"/>
          <w:color w:val="auto"/>
          <w:sz w:val="30"/>
          <w:szCs w:val="30"/>
          <w:lang w:eastAsia="zh-CN"/>
        </w:rPr>
        <w:t>财政拨款</w:t>
      </w:r>
      <w:r>
        <w:rPr>
          <w:rFonts w:hint="eastAsia" w:ascii="宋体" w:hAnsi="宋体" w:eastAsia="宋体" w:cs="宋体"/>
          <w:color w:val="auto"/>
          <w:sz w:val="30"/>
          <w:szCs w:val="30"/>
        </w:rPr>
        <w:t>预算“三公”经费支出表</w:t>
      </w:r>
    </w:p>
    <w:p w14:paraId="5B2A2E3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八、</w:t>
      </w:r>
      <w:r>
        <w:rPr>
          <w:rFonts w:hint="eastAsia" w:eastAsia="宋体" w:cs="宋体"/>
          <w:color w:val="auto"/>
          <w:sz w:val="30"/>
          <w:szCs w:val="30"/>
          <w:lang w:eastAsia="zh-CN"/>
        </w:rPr>
        <w:t>2025</w:t>
      </w:r>
      <w:r>
        <w:rPr>
          <w:rFonts w:hint="eastAsia" w:ascii="宋体" w:hAnsi="宋体" w:eastAsia="宋体" w:cs="宋体"/>
          <w:color w:val="auto"/>
          <w:sz w:val="30"/>
          <w:szCs w:val="30"/>
        </w:rPr>
        <w:t>年政府性基金预算支出表</w:t>
      </w:r>
    </w:p>
    <w:p w14:paraId="62B66D8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九、</w:t>
      </w:r>
      <w:r>
        <w:rPr>
          <w:rFonts w:hint="eastAsia" w:eastAsia="宋体" w:cs="宋体"/>
          <w:color w:val="auto"/>
          <w:sz w:val="30"/>
          <w:szCs w:val="30"/>
          <w:lang w:eastAsia="zh-CN"/>
        </w:rPr>
        <w:t>2025</w:t>
      </w:r>
      <w:r>
        <w:rPr>
          <w:rFonts w:hint="eastAsia" w:ascii="宋体" w:hAnsi="宋体" w:eastAsia="宋体" w:cs="宋体"/>
          <w:color w:val="auto"/>
          <w:sz w:val="30"/>
          <w:szCs w:val="30"/>
        </w:rPr>
        <w:t>年部门项目支出预算表</w:t>
      </w:r>
    </w:p>
    <w:p w14:paraId="78352D4B">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w:t>
      </w:r>
      <w:r>
        <w:rPr>
          <w:rFonts w:hint="eastAsia" w:eastAsia="宋体" w:cs="宋体"/>
          <w:color w:val="auto"/>
          <w:sz w:val="30"/>
          <w:szCs w:val="30"/>
          <w:lang w:eastAsia="zh-CN"/>
        </w:rPr>
        <w:t>2025</w:t>
      </w:r>
      <w:r>
        <w:rPr>
          <w:rFonts w:hint="eastAsia" w:ascii="宋体" w:hAnsi="宋体" w:eastAsia="宋体" w:cs="宋体"/>
          <w:color w:val="auto"/>
          <w:sz w:val="30"/>
          <w:szCs w:val="30"/>
        </w:rPr>
        <w:t>年支出功能分类预算表</w:t>
      </w:r>
    </w:p>
    <w:p w14:paraId="3505179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十一、</w:t>
      </w:r>
      <w:r>
        <w:rPr>
          <w:rFonts w:hint="eastAsia" w:eastAsia="宋体" w:cs="宋体"/>
          <w:color w:val="auto"/>
          <w:sz w:val="30"/>
          <w:szCs w:val="30"/>
          <w:lang w:eastAsia="zh-CN"/>
        </w:rPr>
        <w:t>2025</w:t>
      </w:r>
      <w:r>
        <w:rPr>
          <w:rFonts w:hint="eastAsia" w:ascii="宋体" w:hAnsi="宋体" w:eastAsia="宋体" w:cs="宋体"/>
          <w:color w:val="auto"/>
          <w:sz w:val="30"/>
          <w:szCs w:val="30"/>
        </w:rPr>
        <w:t>年支出经济分类预算表（政府预算）</w:t>
      </w:r>
    </w:p>
    <w:p w14:paraId="14B37AA6">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十二、</w:t>
      </w:r>
      <w:r>
        <w:rPr>
          <w:rFonts w:hint="eastAsia" w:eastAsia="宋体" w:cs="宋体"/>
          <w:color w:val="auto"/>
          <w:sz w:val="30"/>
          <w:szCs w:val="30"/>
          <w:lang w:eastAsia="zh-CN"/>
        </w:rPr>
        <w:t>2025</w:t>
      </w:r>
      <w:r>
        <w:rPr>
          <w:rFonts w:hint="eastAsia" w:ascii="宋体" w:hAnsi="宋体" w:eastAsia="宋体" w:cs="宋体"/>
          <w:color w:val="auto"/>
          <w:sz w:val="30"/>
          <w:szCs w:val="30"/>
        </w:rPr>
        <w:t>年支出经济分类预算表（部门预算）</w:t>
      </w:r>
    </w:p>
    <w:p w14:paraId="5EA1B6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十三、</w:t>
      </w:r>
      <w:r>
        <w:rPr>
          <w:rFonts w:hint="eastAsia" w:eastAsia="宋体" w:cs="宋体"/>
          <w:color w:val="auto"/>
          <w:sz w:val="30"/>
          <w:szCs w:val="30"/>
          <w:lang w:eastAsia="zh-CN"/>
        </w:rPr>
        <w:t>2025</w:t>
      </w:r>
      <w:r>
        <w:rPr>
          <w:rFonts w:hint="eastAsia" w:ascii="宋体" w:hAnsi="宋体" w:eastAsia="宋体" w:cs="宋体"/>
          <w:color w:val="auto"/>
          <w:sz w:val="30"/>
          <w:szCs w:val="30"/>
        </w:rPr>
        <w:t>年项目（债务）支出预算表</w:t>
      </w:r>
    </w:p>
    <w:p w14:paraId="05A9C002">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十四、</w:t>
      </w:r>
      <w:r>
        <w:rPr>
          <w:rFonts w:hint="eastAsia" w:eastAsia="宋体" w:cs="宋体"/>
          <w:color w:val="auto"/>
          <w:sz w:val="30"/>
          <w:szCs w:val="30"/>
          <w:lang w:eastAsia="zh-CN"/>
        </w:rPr>
        <w:t>2025</w:t>
      </w:r>
      <w:r>
        <w:rPr>
          <w:rFonts w:hint="eastAsia" w:ascii="宋体" w:hAnsi="宋体" w:eastAsia="宋体" w:cs="宋体"/>
          <w:color w:val="auto"/>
          <w:sz w:val="30"/>
          <w:szCs w:val="30"/>
        </w:rPr>
        <w:t>年部门政府采购支出预算表</w:t>
      </w:r>
    </w:p>
    <w:p w14:paraId="4428A3F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十五、</w:t>
      </w:r>
      <w:r>
        <w:rPr>
          <w:rFonts w:hint="eastAsia" w:eastAsia="宋体" w:cs="宋体"/>
          <w:color w:val="auto"/>
          <w:sz w:val="30"/>
          <w:szCs w:val="30"/>
          <w:lang w:eastAsia="zh-CN"/>
        </w:rPr>
        <w:t>2025</w:t>
      </w:r>
      <w:r>
        <w:rPr>
          <w:rFonts w:hint="eastAsia" w:ascii="宋体" w:hAnsi="宋体" w:eastAsia="宋体" w:cs="宋体"/>
          <w:color w:val="auto"/>
          <w:sz w:val="30"/>
          <w:szCs w:val="30"/>
        </w:rPr>
        <w:t>年部门政府购买服务支出预算表</w:t>
      </w:r>
    </w:p>
    <w:p w14:paraId="7007FC18">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十六、</w:t>
      </w:r>
      <w:r>
        <w:rPr>
          <w:rFonts w:hint="eastAsia" w:eastAsia="宋体" w:cs="宋体"/>
          <w:color w:val="auto"/>
          <w:sz w:val="30"/>
          <w:szCs w:val="30"/>
          <w:lang w:eastAsia="zh-CN"/>
        </w:rPr>
        <w:t>2025</w:t>
      </w:r>
      <w:r>
        <w:rPr>
          <w:rFonts w:hint="eastAsia" w:ascii="宋体" w:hAnsi="宋体" w:eastAsia="宋体" w:cs="宋体"/>
          <w:color w:val="auto"/>
          <w:sz w:val="30"/>
          <w:szCs w:val="30"/>
        </w:rPr>
        <w:t>年部门</w:t>
      </w:r>
      <w:r>
        <w:rPr>
          <w:rFonts w:hint="eastAsia" w:eastAsia="宋体" w:cs="宋体"/>
          <w:color w:val="auto"/>
          <w:sz w:val="30"/>
          <w:szCs w:val="30"/>
          <w:lang w:eastAsia="zh-CN"/>
        </w:rPr>
        <w:t>（单位）</w:t>
      </w:r>
      <w:r>
        <w:rPr>
          <w:rFonts w:hint="eastAsia" w:ascii="宋体" w:hAnsi="宋体" w:eastAsia="宋体" w:cs="宋体"/>
          <w:color w:val="auto"/>
          <w:sz w:val="30"/>
          <w:szCs w:val="30"/>
        </w:rPr>
        <w:t>整体预算绩效目标情况表</w:t>
      </w:r>
    </w:p>
    <w:p w14:paraId="160DDC0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十七、</w:t>
      </w:r>
      <w:r>
        <w:rPr>
          <w:rFonts w:hint="eastAsia" w:eastAsia="宋体" w:cs="宋体"/>
          <w:color w:val="auto"/>
          <w:sz w:val="30"/>
          <w:szCs w:val="30"/>
          <w:lang w:eastAsia="zh-CN"/>
        </w:rPr>
        <w:t>2025</w:t>
      </w:r>
      <w:r>
        <w:rPr>
          <w:rFonts w:hint="eastAsia" w:ascii="宋体" w:hAnsi="宋体" w:eastAsia="宋体" w:cs="宋体"/>
          <w:color w:val="auto"/>
          <w:sz w:val="30"/>
          <w:szCs w:val="30"/>
        </w:rPr>
        <w:t>年部门项目支出预算绩效目标情况表</w:t>
      </w:r>
    </w:p>
    <w:p w14:paraId="0E36FCC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lang w:eastAsia="zh-CN"/>
        </w:rPr>
      </w:pPr>
      <w:r>
        <w:rPr>
          <w:rFonts w:hint="eastAsia" w:eastAsia="宋体" w:cs="宋体"/>
          <w:color w:val="auto"/>
          <w:sz w:val="30"/>
          <w:szCs w:val="30"/>
          <w:lang w:eastAsia="zh-CN"/>
        </w:rPr>
        <w:t>十八、</w:t>
      </w:r>
      <w:r>
        <w:rPr>
          <w:rFonts w:hint="eastAsia" w:ascii="宋体" w:hAnsi="宋体" w:eastAsia="宋体" w:cs="宋体"/>
          <w:color w:val="auto"/>
          <w:sz w:val="30"/>
          <w:szCs w:val="30"/>
          <w:lang w:eastAsia="zh-CN"/>
        </w:rPr>
        <w:t>部门管理专项资金预算表</w:t>
      </w:r>
    </w:p>
    <w:p w14:paraId="1E6FD0E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  2025年部门预算情况说明</w:t>
      </w:r>
    </w:p>
    <w:p w14:paraId="007A372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  名词解释</w:t>
      </w:r>
    </w:p>
    <w:p w14:paraId="76DD213C">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479DF7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183EA8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3CA5F0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547E8CA5">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F1FB79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76BAD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2BA6C196">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8A04A2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390F171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8259E9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FB0A6D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5B769F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672AC7F">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D2DFBB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F02C67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C7FC943">
      <w:pPr>
        <w:pStyle w:val="4"/>
        <w:keepNext w:val="0"/>
        <w:keepLines w:val="0"/>
        <w:widowControl/>
        <w:suppressLineNumbers w:val="0"/>
        <w:spacing w:before="0" w:beforeAutospacing="0" w:after="0" w:afterAutospacing="0" w:line="23" w:lineRule="atLeast"/>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第一部分</w:t>
      </w:r>
      <w:r>
        <w:rPr>
          <w:rFonts w:hint="eastAsia" w:ascii="仿宋" w:hAnsi="仿宋" w:eastAsia="仿宋" w:cs="仿宋"/>
          <w:b/>
          <w:bCs/>
          <w:color w:val="auto"/>
          <w:sz w:val="32"/>
          <w:szCs w:val="32"/>
          <w:lang w:val="en-US" w:eastAsia="zh-CN"/>
        </w:rPr>
        <w:t xml:space="preserve">   部门预算公开管理文件</w:t>
      </w:r>
    </w:p>
    <w:p w14:paraId="620735CF">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抚顺市林业和草原局预决算信息公开管理办法</w:t>
      </w:r>
    </w:p>
    <w:p w14:paraId="64D2F135">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第一条 </w:t>
      </w:r>
    </w:p>
    <w:p w14:paraId="13D6DFA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为推进和规范预决算信息公开工作，强化社会监督，促进依法理财，建立透明预算制度，根据《中华人民共和国预算法》和《中华人民共和国政府信息公开条例》等有关规定，结合我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实际，制定本办法。 </w:t>
      </w:r>
    </w:p>
    <w:p w14:paraId="2DFCCF89">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第二条 </w:t>
      </w:r>
    </w:p>
    <w:p w14:paraId="5D62D7E8">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本办法适用于</w:t>
      </w:r>
      <w:r>
        <w:rPr>
          <w:rFonts w:hint="eastAsia" w:ascii="仿宋_GB2312" w:hAnsi="仿宋_GB2312" w:eastAsia="仿宋_GB2312" w:cs="仿宋_GB2312"/>
          <w:color w:val="000000"/>
          <w:kern w:val="0"/>
          <w:sz w:val="31"/>
          <w:szCs w:val="31"/>
          <w:lang w:val="en-US" w:eastAsia="zh-CN" w:bidi="ar"/>
        </w:rPr>
        <w:t>抚顺市林业和草原局</w:t>
      </w:r>
      <w:r>
        <w:rPr>
          <w:rFonts w:ascii="仿宋_GB2312" w:hAnsi="仿宋_GB2312" w:eastAsia="仿宋_GB2312" w:cs="仿宋_GB2312"/>
          <w:color w:val="000000"/>
          <w:kern w:val="0"/>
          <w:sz w:val="31"/>
          <w:szCs w:val="31"/>
          <w:lang w:val="en-US" w:eastAsia="zh-CN" w:bidi="ar"/>
        </w:rPr>
        <w:t xml:space="preserve">部门预决算信息公开管理。 </w:t>
      </w:r>
    </w:p>
    <w:p w14:paraId="7C584EEF">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第三条 </w:t>
      </w:r>
    </w:p>
    <w:p w14:paraId="77743D1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本办法所称部门预决算信息包括预算收支安排、预算执行、决算数据等。 </w:t>
      </w:r>
    </w:p>
    <w:p w14:paraId="6B215EB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第四条 </w:t>
      </w:r>
    </w:p>
    <w:p w14:paraId="7DF9F3E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预决算信息公开的原则：以公开为常态，不公开为例外，依法依规公开预决算。除涉及国家秘密外，不得少公开、不公开应当公开的事项，确保预决算信息公开及时、准确和完整。 </w:t>
      </w:r>
    </w:p>
    <w:p w14:paraId="7691EAA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第五条 </w:t>
      </w:r>
    </w:p>
    <w:p w14:paraId="33C691AB">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局财务资金与运用科</w:t>
      </w:r>
      <w:r>
        <w:rPr>
          <w:rFonts w:ascii="仿宋_GB2312" w:hAnsi="仿宋_GB2312" w:eastAsia="仿宋_GB2312" w:cs="仿宋_GB2312"/>
          <w:color w:val="000000"/>
          <w:kern w:val="0"/>
          <w:sz w:val="31"/>
          <w:szCs w:val="31"/>
          <w:lang w:val="en-US" w:eastAsia="zh-CN" w:bidi="ar"/>
        </w:rPr>
        <w:t>负责我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部门预决算信息</w:t>
      </w:r>
      <w:r>
        <w:rPr>
          <w:rFonts w:hint="eastAsia" w:ascii="仿宋_GB2312" w:hAnsi="仿宋_GB2312" w:eastAsia="仿宋_GB2312" w:cs="仿宋_GB2312"/>
          <w:color w:val="000000"/>
          <w:kern w:val="0"/>
          <w:sz w:val="31"/>
          <w:szCs w:val="31"/>
          <w:lang w:val="en-US" w:eastAsia="zh-CN" w:bidi="ar"/>
        </w:rPr>
        <w:t>编制</w:t>
      </w:r>
      <w:r>
        <w:rPr>
          <w:rFonts w:ascii="仿宋_GB2312" w:hAnsi="仿宋_GB2312" w:eastAsia="仿宋_GB2312" w:cs="仿宋_GB2312"/>
          <w:color w:val="000000"/>
          <w:kern w:val="0"/>
          <w:sz w:val="31"/>
          <w:szCs w:val="31"/>
          <w:lang w:val="en-US" w:eastAsia="zh-CN" w:bidi="ar"/>
        </w:rPr>
        <w:t xml:space="preserve">工作，履行下列职责： </w:t>
      </w:r>
    </w:p>
    <w:p w14:paraId="08E09072">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（一）制定我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部门预决算信息公开的工作方案； </w:t>
      </w:r>
    </w:p>
    <w:p w14:paraId="0ABDAD1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（二）按规定公开我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 </w:t>
      </w:r>
    </w:p>
    <w:p w14:paraId="35AE392C">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（三）按规定做好公民、法人或者其他组织依申请公开部门预决算信息的答复工作。 </w:t>
      </w:r>
    </w:p>
    <w:p w14:paraId="7EF4A574">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办公室负责在相关网站公开工作。</w:t>
      </w:r>
    </w:p>
    <w:p w14:paraId="2D806EFC">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第六条 </w:t>
      </w:r>
    </w:p>
    <w:p w14:paraId="7F0B023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部门预决算信息公开内容包括： </w:t>
      </w:r>
    </w:p>
    <w:p w14:paraId="08870CBC">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（一）部门文件。部门预决算信息公开管理办法。 </w:t>
      </w:r>
    </w:p>
    <w:p w14:paraId="4B448C9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（二）部门概况。包括部门职责、机构设置等情况。 </w:t>
      </w:r>
    </w:p>
    <w:p w14:paraId="567B638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（三）预决算收支情况表。包括部门收支总体情况、财 </w:t>
      </w:r>
    </w:p>
    <w:p w14:paraId="6DFE092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政拨款安排使用情况、“三公”经费财政拨款安排使用情况 </w:t>
      </w:r>
    </w:p>
    <w:p w14:paraId="1A71F09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 </w:t>
      </w:r>
    </w:p>
    <w:p w14:paraId="2167357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（四）情况说明。包括预决算年度收支、机关运行经费、 </w:t>
      </w:r>
    </w:p>
    <w:p w14:paraId="19EAD68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政府采购、“三公”经费、国有资产占有使用和项目支出绩 </w:t>
      </w:r>
    </w:p>
    <w:p w14:paraId="5B7A6C2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效目标等情况说明。 </w:t>
      </w:r>
    </w:p>
    <w:p w14:paraId="2C71D325">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（五）名词解释。对预决算相关专业名词进行解释说明。 </w:t>
      </w:r>
    </w:p>
    <w:p w14:paraId="01279F48">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第七条 </w:t>
      </w:r>
    </w:p>
    <w:p w14:paraId="74B0226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部门预决算信息在省政府门户网站“财政预决算”专栏和我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门户网站“财政预决算”专栏同步公开，并保持长期公开状态，便于社会公众查询监督。 </w:t>
      </w:r>
    </w:p>
    <w:p w14:paraId="1866522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第八条 </w:t>
      </w:r>
    </w:p>
    <w:p w14:paraId="36483580">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经</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财政</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批复的部门预决算及报表，应当在批复后 20 日内公开。 </w:t>
      </w:r>
    </w:p>
    <w:p w14:paraId="045D6848">
      <w:pPr>
        <w:keepNext w:val="0"/>
        <w:keepLines w:val="0"/>
        <w:widowControl/>
        <w:suppressLineNumbers w:val="0"/>
        <w:jc w:val="left"/>
      </w:pPr>
    </w:p>
    <w:p w14:paraId="29004348">
      <w:pPr>
        <w:keepNext w:val="0"/>
        <w:keepLines w:val="0"/>
        <w:widowControl/>
        <w:suppressLineNumbers w:val="0"/>
        <w:jc w:val="left"/>
      </w:pPr>
    </w:p>
    <w:p w14:paraId="37F9383F">
      <w:pPr>
        <w:pStyle w:val="4"/>
        <w:keepNext w:val="0"/>
        <w:keepLines w:val="0"/>
        <w:widowControl/>
        <w:suppressLineNumbers w:val="0"/>
        <w:spacing w:before="0" w:beforeAutospacing="0" w:after="0" w:afterAutospacing="0" w:line="23" w:lineRule="atLeast"/>
        <w:ind w:left="0" w:leftChars="0" w:firstLine="610" w:firstLineChars="19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部门概况</w:t>
      </w:r>
    </w:p>
    <w:p w14:paraId="731FF14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b/>
          <w:bCs/>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一、部门主要职责</w:t>
      </w:r>
    </w:p>
    <w:p w14:paraId="40CC574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z w:val="32"/>
          <w:szCs w:val="32"/>
          <w:lang w:val="en-US" w:eastAsia="zh-CN"/>
        </w:rPr>
        <w:t>负责林业和草原的监督管理；</w:t>
      </w:r>
    </w:p>
    <w:p w14:paraId="241593E8">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z w:val="32"/>
          <w:szCs w:val="32"/>
          <w:lang w:val="en-US" w:eastAsia="zh-CN"/>
        </w:rPr>
        <w:t>组织林业和草原生态保护修复和造林绿化工作；</w:t>
      </w:r>
    </w:p>
    <w:p w14:paraId="7DAB3E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z w:val="32"/>
          <w:szCs w:val="32"/>
          <w:lang w:val="en-US" w:eastAsia="zh-CN"/>
        </w:rPr>
        <w:t>负责森林、草原、湿地资源的监督管理；</w:t>
      </w:r>
    </w:p>
    <w:p w14:paraId="1B1A54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z w:val="32"/>
          <w:szCs w:val="32"/>
          <w:lang w:val="en-US" w:eastAsia="zh-CN"/>
        </w:rPr>
        <w:t>负责监督管理荒漠化防治工作；</w:t>
      </w:r>
    </w:p>
    <w:p w14:paraId="77731B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z w:val="32"/>
          <w:szCs w:val="32"/>
          <w:lang w:val="en-US" w:eastAsia="zh-CN"/>
        </w:rPr>
        <w:t>负责陆生野生动植物资源监督管理；</w:t>
      </w:r>
    </w:p>
    <w:p w14:paraId="11CF8A6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z w:val="32"/>
          <w:szCs w:val="32"/>
          <w:lang w:val="en-US" w:eastAsia="zh-CN"/>
        </w:rPr>
        <w:t>负责监督管理各类自然保护地；</w:t>
      </w:r>
    </w:p>
    <w:p w14:paraId="26704BB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z w:val="32"/>
          <w:szCs w:val="32"/>
          <w:lang w:val="en-US" w:eastAsia="zh-CN"/>
        </w:rPr>
        <w:t>负责推进林业和草原改革相关工作；</w:t>
      </w:r>
    </w:p>
    <w:p w14:paraId="760B5AA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sz w:val="32"/>
          <w:szCs w:val="32"/>
          <w:lang w:val="en-US" w:eastAsia="zh-CN"/>
        </w:rPr>
        <w:t>拟订林业和草原资源优化配置及木材利用政策并监督实施，组织、指导林产品质量监督，指导生态扶贫相关工作；</w:t>
      </w:r>
    </w:p>
    <w:p w14:paraId="139E8B7C">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w:t>
      </w:r>
      <w:r>
        <w:rPr>
          <w:rFonts w:hint="eastAsia" w:ascii="仿宋" w:hAnsi="仿宋" w:eastAsia="仿宋" w:cs="仿宋"/>
          <w:sz w:val="32"/>
          <w:szCs w:val="32"/>
          <w:lang w:val="en-US" w:eastAsia="zh-CN"/>
        </w:rPr>
        <w:t>指导国有林场基本建设和发展，组织林木种子、草种种质资源普查和林木种质资源收集，负责良种选育推广，管理林草种子生产经营行为，监管林草种子质量；</w:t>
      </w:r>
    </w:p>
    <w:p w14:paraId="61D2DD9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w:t>
      </w:r>
      <w:r>
        <w:rPr>
          <w:rFonts w:hint="eastAsia" w:ascii="仿宋" w:hAnsi="仿宋" w:eastAsia="仿宋" w:cs="仿宋"/>
          <w:sz w:val="32"/>
          <w:szCs w:val="32"/>
          <w:lang w:val="en-US" w:eastAsia="zh-CN"/>
        </w:rPr>
        <w:t>负责落实综合防灾减灾相关要求，组织编制森林和草原火灾防治方案和防护标准并指导实施，指导开展防火巡护、火源管理、防火设施建设等工作；</w:t>
      </w:r>
    </w:p>
    <w:p w14:paraId="1667E08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w:t>
      </w:r>
      <w:r>
        <w:rPr>
          <w:rFonts w:hint="eastAsia" w:ascii="仿宋" w:hAnsi="仿宋" w:eastAsia="仿宋" w:cs="仿宋"/>
          <w:sz w:val="32"/>
          <w:szCs w:val="32"/>
          <w:lang w:val="en-US" w:eastAsia="zh-CN"/>
        </w:rPr>
        <w:t>监督管理林业和草原中央及省市级资金，提出林业和草原预算内投资、财政性资金安排建议，按政府规定权限，审核市政府规划内和年度计划内投资项目；</w:t>
      </w:r>
    </w:p>
    <w:p w14:paraId="29B21ED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w:t>
      </w:r>
      <w:r>
        <w:rPr>
          <w:rFonts w:hint="eastAsia" w:ascii="仿宋" w:hAnsi="仿宋" w:eastAsia="仿宋" w:cs="仿宋"/>
          <w:sz w:val="32"/>
          <w:szCs w:val="32"/>
          <w:lang w:val="en-US" w:eastAsia="zh-CN"/>
        </w:rPr>
        <w:t>负责林业和草原科技、教育和外事工作，指导全市林业和草原人才队伍建设，组织实施林业和草原国际交流与合作事务，承担湿地、防治荒漠化、濒危野生动植物等国际公约履约工作；</w:t>
      </w:r>
    </w:p>
    <w:p w14:paraId="1530F7A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w:t>
      </w:r>
      <w:r>
        <w:rPr>
          <w:rFonts w:hint="eastAsia" w:ascii="仿宋" w:hAnsi="仿宋" w:eastAsia="仿宋" w:cs="仿宋"/>
          <w:sz w:val="32"/>
          <w:szCs w:val="32"/>
          <w:lang w:val="en-US" w:eastAsia="zh-CN"/>
        </w:rPr>
        <w:t>完成市委、市政府交办的其他任务；</w:t>
      </w:r>
    </w:p>
    <w:p w14:paraId="6BEB9F6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职能转变。</w:t>
      </w:r>
    </w:p>
    <w:p w14:paraId="37D05AAE">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二、部门预算单位构成</w:t>
      </w:r>
    </w:p>
    <w:p w14:paraId="2C778902">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本次纳入2025年部门预算编制范围的二级预算单位包括：</w:t>
      </w:r>
    </w:p>
    <w:p w14:paraId="349D383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抚顺市林业和草原局</w:t>
      </w:r>
      <w:r>
        <w:rPr>
          <w:rFonts w:hint="eastAsia" w:ascii="仿宋" w:hAnsi="仿宋" w:eastAsia="仿宋" w:cs="仿宋"/>
          <w:color w:val="auto"/>
          <w:sz w:val="32"/>
          <w:szCs w:val="32"/>
        </w:rPr>
        <w:t>（本级）</w:t>
      </w:r>
    </w:p>
    <w:p w14:paraId="52DA12F5">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2.抚顺市</w:t>
      </w:r>
      <w:r>
        <w:rPr>
          <w:rFonts w:hint="eastAsia" w:ascii="仿宋" w:hAnsi="仿宋" w:eastAsia="仿宋" w:cs="仿宋"/>
          <w:color w:val="auto"/>
          <w:sz w:val="32"/>
          <w:szCs w:val="32"/>
          <w:lang w:eastAsia="zh-CN"/>
        </w:rPr>
        <w:t>林业和草原发展服务</w:t>
      </w:r>
      <w:r>
        <w:rPr>
          <w:rFonts w:hint="eastAsia" w:ascii="仿宋" w:hAnsi="仿宋" w:eastAsia="仿宋" w:cs="仿宋"/>
          <w:color w:val="auto"/>
          <w:sz w:val="32"/>
          <w:szCs w:val="32"/>
        </w:rPr>
        <w:t xml:space="preserve">中心  </w:t>
      </w:r>
    </w:p>
    <w:p w14:paraId="3DC9CDCE">
      <w:pPr>
        <w:pStyle w:val="4"/>
        <w:keepNext w:val="0"/>
        <w:keepLines w:val="0"/>
        <w:widowControl/>
        <w:suppressLineNumbers w:val="0"/>
        <w:spacing w:before="0" w:beforeAutospacing="0" w:after="0" w:afterAutospacing="0" w:line="23"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第三部分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2025年部门预算情况说明</w:t>
      </w:r>
    </w:p>
    <w:p w14:paraId="3F9F4AFD">
      <w:pPr>
        <w:pStyle w:val="4"/>
        <w:keepNext w:val="0"/>
        <w:keepLines w:val="0"/>
        <w:widowControl/>
        <w:suppressLineNumbers w:val="0"/>
        <w:spacing w:before="0" w:beforeAutospacing="0" w:after="0" w:afterAutospacing="0" w:line="23" w:lineRule="atLeast"/>
        <w:ind w:left="0" w:leftChars="0" w:firstLine="608" w:firstLineChars="190"/>
        <w:jc w:val="both"/>
        <w:rPr>
          <w:color w:val="auto"/>
          <w:kern w:val="0"/>
          <w:szCs w:val="21"/>
        </w:rPr>
      </w:pPr>
      <w:r>
        <w:rPr>
          <w:rFonts w:hint="eastAsia" w:ascii="仿宋" w:hAnsi="仿宋" w:eastAsia="仿宋" w:cs="仿宋"/>
          <w:color w:val="auto"/>
          <w:sz w:val="32"/>
          <w:szCs w:val="32"/>
        </w:rPr>
        <w:t>  一、关于2025年收支预算情况的总体说明</w:t>
      </w:r>
    </w:p>
    <w:p w14:paraId="5A8C860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按照综合预算的原则，本部门及所属单位所有收入和支出均纳入部门预算管理。收入包括：财政拨款收入(含上级提前告知转移支付资金)、纳入预算管理的专项收入、纳入政府性基金预算管理收入(含上级提前告知转移支付资金)、纳入专户管理的行政事业性收费收入、</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收入；支出包括：社会保障和就业支出、</w:t>
      </w:r>
      <w:r>
        <w:rPr>
          <w:rFonts w:hint="eastAsia" w:ascii="仿宋" w:hAnsi="仿宋" w:eastAsia="仿宋" w:cs="仿宋"/>
          <w:color w:val="auto"/>
          <w:sz w:val="32"/>
          <w:szCs w:val="32"/>
          <w:lang w:eastAsia="zh-CN"/>
        </w:rPr>
        <w:t>卫生健康支出、节能环保支出、</w:t>
      </w:r>
      <w:r>
        <w:rPr>
          <w:rFonts w:hint="eastAsia" w:ascii="仿宋" w:hAnsi="仿宋" w:eastAsia="仿宋" w:cs="仿宋"/>
          <w:color w:val="auto"/>
          <w:sz w:val="32"/>
          <w:szCs w:val="32"/>
        </w:rPr>
        <w:t>农林水事务支出、住房保障支出等。</w:t>
      </w:r>
    </w:p>
    <w:p w14:paraId="25B12ED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收支总预算</w:t>
      </w:r>
      <w:r>
        <w:rPr>
          <w:rFonts w:hint="eastAsia" w:ascii="仿宋" w:hAnsi="仿宋" w:eastAsia="仿宋" w:cs="仿宋"/>
          <w:color w:val="auto"/>
          <w:sz w:val="32"/>
          <w:szCs w:val="32"/>
          <w:lang w:val="en-US" w:eastAsia="zh-CN"/>
        </w:rPr>
        <w:t>4763.73</w:t>
      </w:r>
      <w:r>
        <w:rPr>
          <w:rFonts w:hint="eastAsia" w:ascii="仿宋" w:hAnsi="仿宋" w:eastAsia="仿宋" w:cs="仿宋"/>
          <w:color w:val="auto"/>
          <w:sz w:val="32"/>
          <w:szCs w:val="32"/>
        </w:rPr>
        <w:t>万元。</w:t>
      </w:r>
    </w:p>
    <w:p w14:paraId="617FAED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收入预算增减情况：</w:t>
      </w:r>
    </w:p>
    <w:p w14:paraId="47D9B02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，本部门及所属单位部门收入预算</w:t>
      </w:r>
      <w:r>
        <w:rPr>
          <w:rFonts w:hint="eastAsia" w:ascii="仿宋" w:hAnsi="仿宋" w:eastAsia="仿宋" w:cs="仿宋"/>
          <w:color w:val="000000"/>
          <w:sz w:val="32"/>
          <w:szCs w:val="32"/>
          <w:lang w:val="en-US" w:eastAsia="zh-CN"/>
        </w:rPr>
        <w:t>4763.73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同比增加</w:t>
      </w:r>
      <w:r>
        <w:rPr>
          <w:rFonts w:hint="eastAsia" w:ascii="仿宋" w:hAnsi="仿宋" w:eastAsia="仿宋" w:cs="仿宋"/>
          <w:color w:val="000000"/>
          <w:kern w:val="0"/>
          <w:sz w:val="32"/>
          <w:szCs w:val="32"/>
          <w:highlight w:val="none"/>
          <w:lang w:val="en-US" w:eastAsia="zh-CN"/>
        </w:rPr>
        <w:t>1237.76</w:t>
      </w:r>
      <w:r>
        <w:rPr>
          <w:rFonts w:hint="eastAsia" w:ascii="仿宋" w:hAnsi="仿宋" w:eastAsia="仿宋" w:cs="仿宋"/>
          <w:color w:val="000000"/>
          <w:kern w:val="0"/>
          <w:sz w:val="32"/>
          <w:szCs w:val="32"/>
          <w:highlight w:val="none"/>
        </w:rPr>
        <w:t>万元，增幅</w:t>
      </w:r>
      <w:r>
        <w:rPr>
          <w:rFonts w:hint="eastAsia" w:ascii="仿宋" w:hAnsi="仿宋" w:eastAsia="仿宋" w:cs="仿宋"/>
          <w:color w:val="000000"/>
          <w:kern w:val="0"/>
          <w:sz w:val="32"/>
          <w:szCs w:val="32"/>
          <w:highlight w:val="none"/>
          <w:lang w:val="en-US" w:eastAsia="zh-CN"/>
        </w:rPr>
        <w:t>35.1</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sz w:val="32"/>
          <w:szCs w:val="32"/>
        </w:rPr>
        <w:t>按照资金来源划分，财政拨款收入(含上级提前告知转移支付资金)</w:t>
      </w:r>
      <w:r>
        <w:rPr>
          <w:rFonts w:hint="eastAsia" w:ascii="仿宋" w:hAnsi="仿宋" w:eastAsia="仿宋" w:cs="仿宋"/>
          <w:color w:val="000000"/>
          <w:sz w:val="32"/>
          <w:szCs w:val="32"/>
          <w:lang w:val="en-US" w:eastAsia="zh-CN"/>
        </w:rPr>
        <w:t>4488.73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纳入预算管理的单位资金收入</w:t>
      </w:r>
      <w:r>
        <w:rPr>
          <w:rFonts w:hint="eastAsia" w:ascii="仿宋" w:hAnsi="仿宋" w:eastAsia="仿宋" w:cs="仿宋"/>
          <w:color w:val="000000"/>
          <w:kern w:val="0"/>
          <w:sz w:val="32"/>
          <w:szCs w:val="32"/>
          <w:highlight w:val="none"/>
          <w:lang w:val="en-US" w:eastAsia="zh-CN"/>
        </w:rPr>
        <w:t>275</w:t>
      </w:r>
      <w:r>
        <w:rPr>
          <w:rFonts w:hint="eastAsia" w:ascii="仿宋" w:hAnsi="仿宋" w:eastAsia="仿宋" w:cs="仿宋"/>
          <w:color w:val="000000"/>
          <w:kern w:val="0"/>
          <w:sz w:val="32"/>
          <w:szCs w:val="32"/>
          <w:highlight w:val="none"/>
        </w:rPr>
        <w:t>万元，增加主要原因是</w:t>
      </w:r>
      <w:r>
        <w:rPr>
          <w:rFonts w:hint="eastAsia" w:ascii="仿宋" w:hAnsi="仿宋" w:eastAsia="仿宋" w:cs="仿宋"/>
          <w:color w:val="000000"/>
          <w:kern w:val="0"/>
          <w:sz w:val="32"/>
          <w:szCs w:val="32"/>
          <w:highlight w:val="none"/>
          <w:lang w:eastAsia="zh-CN"/>
        </w:rPr>
        <w:t>市林草局2024年4月新成立，没有年初预算数，所以增幅比率较大。林草中心</w:t>
      </w:r>
      <w:r>
        <w:rPr>
          <w:rFonts w:hint="eastAsia" w:ascii="仿宋" w:hAnsi="仿宋" w:eastAsia="仿宋" w:cs="仿宋"/>
          <w:color w:val="000000"/>
          <w:kern w:val="0"/>
          <w:sz w:val="32"/>
          <w:szCs w:val="32"/>
          <w:highlight w:val="none"/>
          <w:lang w:val="en-US" w:eastAsia="zh-CN"/>
        </w:rPr>
        <w:t>2025年各分支机构人员薪级调整刚性支出增加及项目预算增加。</w:t>
      </w:r>
    </w:p>
    <w:p w14:paraId="37F87632">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支出预算增减情况：</w:t>
      </w:r>
    </w:p>
    <w:p w14:paraId="0388D075">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，本部门及所属单位部门总体情况支出</w:t>
      </w:r>
      <w:r>
        <w:rPr>
          <w:rFonts w:hint="eastAsia" w:ascii="仿宋" w:hAnsi="仿宋" w:eastAsia="仿宋" w:cs="仿宋"/>
          <w:color w:val="000000"/>
          <w:sz w:val="32"/>
          <w:szCs w:val="32"/>
          <w:lang w:val="en-US" w:eastAsia="zh-CN"/>
        </w:rPr>
        <w:t>4763.73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同比上年增加</w:t>
      </w:r>
      <w:r>
        <w:rPr>
          <w:rFonts w:hint="eastAsia" w:ascii="仿宋" w:hAnsi="仿宋" w:eastAsia="仿宋" w:cs="仿宋"/>
          <w:color w:val="000000"/>
          <w:kern w:val="0"/>
          <w:sz w:val="32"/>
          <w:szCs w:val="32"/>
          <w:highlight w:val="none"/>
          <w:lang w:val="en-US" w:eastAsia="zh-CN"/>
        </w:rPr>
        <w:t>1237.76</w:t>
      </w:r>
      <w:r>
        <w:rPr>
          <w:rFonts w:hint="eastAsia" w:ascii="仿宋" w:hAnsi="仿宋" w:eastAsia="仿宋" w:cs="仿宋"/>
          <w:color w:val="000000"/>
          <w:kern w:val="0"/>
          <w:sz w:val="32"/>
          <w:szCs w:val="32"/>
          <w:highlight w:val="none"/>
        </w:rPr>
        <w:t>万元，增幅</w:t>
      </w:r>
      <w:r>
        <w:rPr>
          <w:rFonts w:hint="eastAsia" w:ascii="仿宋" w:hAnsi="仿宋" w:eastAsia="仿宋" w:cs="仿宋"/>
          <w:color w:val="000000"/>
          <w:kern w:val="0"/>
          <w:sz w:val="32"/>
          <w:szCs w:val="32"/>
          <w:highlight w:val="none"/>
          <w:lang w:val="en-US" w:eastAsia="zh-CN"/>
        </w:rPr>
        <w:t>35.1</w:t>
      </w:r>
      <w:r>
        <w:rPr>
          <w:rFonts w:hint="eastAsia" w:ascii="仿宋" w:hAnsi="仿宋" w:eastAsia="仿宋" w:cs="仿宋"/>
          <w:color w:val="000000"/>
          <w:kern w:val="0"/>
          <w:sz w:val="32"/>
          <w:szCs w:val="32"/>
          <w:highlight w:val="none"/>
        </w:rPr>
        <w:t>%，增加主要原因：</w:t>
      </w:r>
      <w:r>
        <w:rPr>
          <w:rFonts w:hint="eastAsia" w:ascii="仿宋" w:hAnsi="仿宋" w:eastAsia="仿宋" w:cs="仿宋"/>
          <w:color w:val="000000"/>
          <w:kern w:val="0"/>
          <w:sz w:val="32"/>
          <w:szCs w:val="32"/>
          <w:highlight w:val="none"/>
          <w:lang w:val="en-US" w:eastAsia="zh-CN"/>
        </w:rPr>
        <w:t>1.</w:t>
      </w:r>
      <w:r>
        <w:rPr>
          <w:rFonts w:hint="eastAsia" w:ascii="仿宋" w:hAnsi="仿宋" w:eastAsia="仿宋" w:cs="仿宋"/>
          <w:color w:val="000000"/>
          <w:sz w:val="32"/>
          <w:szCs w:val="32"/>
        </w:rPr>
        <w:t>基本支出</w:t>
      </w:r>
      <w:r>
        <w:rPr>
          <w:rFonts w:hint="eastAsia" w:ascii="仿宋" w:hAnsi="仿宋" w:eastAsia="仿宋" w:cs="仿宋"/>
          <w:color w:val="000000"/>
          <w:sz w:val="32"/>
          <w:szCs w:val="32"/>
          <w:lang w:val="en-US" w:eastAsia="zh-CN"/>
        </w:rPr>
        <w:t>3364.53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比上年增加</w:t>
      </w:r>
      <w:r>
        <w:rPr>
          <w:rFonts w:hint="eastAsia" w:ascii="仿宋" w:hAnsi="仿宋" w:eastAsia="仿宋" w:cs="仿宋"/>
          <w:color w:val="000000"/>
          <w:kern w:val="0"/>
          <w:sz w:val="32"/>
          <w:szCs w:val="32"/>
          <w:highlight w:val="none"/>
          <w:lang w:val="en-US" w:eastAsia="zh-CN"/>
        </w:rPr>
        <w:t>604.07</w:t>
      </w:r>
      <w:r>
        <w:rPr>
          <w:rFonts w:hint="eastAsia" w:ascii="仿宋" w:hAnsi="仿宋" w:eastAsia="仿宋" w:cs="仿宋"/>
          <w:color w:val="000000"/>
          <w:kern w:val="0"/>
          <w:sz w:val="32"/>
          <w:szCs w:val="32"/>
          <w:highlight w:val="none"/>
        </w:rPr>
        <w:t>万元，增幅</w:t>
      </w:r>
      <w:r>
        <w:rPr>
          <w:rFonts w:hint="eastAsia" w:ascii="仿宋" w:hAnsi="仿宋" w:eastAsia="仿宋" w:cs="仿宋"/>
          <w:color w:val="000000"/>
          <w:kern w:val="0"/>
          <w:sz w:val="32"/>
          <w:szCs w:val="32"/>
          <w:highlight w:val="none"/>
          <w:lang w:val="en-US" w:eastAsia="zh-CN"/>
        </w:rPr>
        <w:t>21.88</w:t>
      </w:r>
      <w:r>
        <w:rPr>
          <w:rFonts w:hint="eastAsia" w:ascii="仿宋" w:hAnsi="仿宋" w:eastAsia="仿宋" w:cs="仿宋"/>
          <w:color w:val="000000"/>
          <w:kern w:val="0"/>
          <w:sz w:val="32"/>
          <w:szCs w:val="32"/>
          <w:highlight w:val="none"/>
        </w:rPr>
        <w:t>%，主要原因是</w:t>
      </w:r>
      <w:r>
        <w:rPr>
          <w:rFonts w:hint="eastAsia" w:ascii="仿宋" w:hAnsi="仿宋" w:eastAsia="仿宋" w:cs="仿宋"/>
          <w:color w:val="000000"/>
          <w:kern w:val="0"/>
          <w:sz w:val="32"/>
          <w:szCs w:val="32"/>
          <w:highlight w:val="none"/>
          <w:lang w:eastAsia="zh-CN"/>
        </w:rPr>
        <w:t>市林草局2024年4月新成立，没有年初预算数，所以增幅比率较大。林草中心人员薪级调整及刚性支出增加</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1399.2</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较上年</w:t>
      </w:r>
      <w:r>
        <w:rPr>
          <w:rFonts w:hint="eastAsia" w:ascii="仿宋" w:hAnsi="仿宋" w:eastAsia="仿宋" w:cs="仿宋"/>
          <w:color w:val="000000"/>
          <w:kern w:val="0"/>
          <w:sz w:val="32"/>
          <w:szCs w:val="32"/>
          <w:highlight w:val="none"/>
          <w:lang w:eastAsia="zh-CN"/>
        </w:rPr>
        <w:t>增加</w:t>
      </w:r>
      <w:r>
        <w:rPr>
          <w:rFonts w:hint="eastAsia" w:ascii="仿宋" w:hAnsi="仿宋" w:eastAsia="仿宋" w:cs="仿宋"/>
          <w:color w:val="000000"/>
          <w:kern w:val="0"/>
          <w:sz w:val="32"/>
          <w:szCs w:val="32"/>
          <w:highlight w:val="none"/>
          <w:lang w:val="en-US" w:eastAsia="zh-CN"/>
        </w:rPr>
        <w:t>633.69</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增</w:t>
      </w:r>
      <w:r>
        <w:rPr>
          <w:rFonts w:hint="eastAsia" w:ascii="仿宋" w:hAnsi="仿宋" w:eastAsia="仿宋" w:cs="仿宋"/>
          <w:color w:val="000000"/>
          <w:kern w:val="0"/>
          <w:sz w:val="32"/>
          <w:szCs w:val="32"/>
          <w:highlight w:val="none"/>
        </w:rPr>
        <w:t>幅</w:t>
      </w:r>
      <w:r>
        <w:rPr>
          <w:rFonts w:hint="eastAsia" w:ascii="仿宋" w:hAnsi="仿宋" w:eastAsia="仿宋" w:cs="仿宋"/>
          <w:color w:val="000000"/>
          <w:kern w:val="0"/>
          <w:sz w:val="32"/>
          <w:szCs w:val="32"/>
          <w:highlight w:val="none"/>
          <w:lang w:val="en-US" w:eastAsia="zh-CN"/>
        </w:rPr>
        <w:t>82.78</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增</w:t>
      </w:r>
      <w:r>
        <w:rPr>
          <w:rFonts w:hint="eastAsia" w:ascii="仿宋" w:hAnsi="仿宋" w:eastAsia="仿宋" w:cs="仿宋"/>
          <w:color w:val="000000"/>
          <w:kern w:val="0"/>
          <w:sz w:val="32"/>
          <w:szCs w:val="32"/>
          <w:highlight w:val="none"/>
        </w:rPr>
        <w:t>幅主要原因是</w:t>
      </w:r>
      <w:r>
        <w:rPr>
          <w:rFonts w:hint="eastAsia" w:ascii="仿宋" w:hAnsi="仿宋" w:eastAsia="仿宋" w:cs="仿宋"/>
          <w:color w:val="000000"/>
          <w:kern w:val="0"/>
          <w:sz w:val="32"/>
          <w:szCs w:val="32"/>
          <w:highlight w:val="none"/>
          <w:lang w:eastAsia="zh-CN"/>
        </w:rPr>
        <w:t>市林草局2024年4月新成立，没有年初预算数，所以增幅比率较大。林草中心增加</w:t>
      </w:r>
      <w:r>
        <w:rPr>
          <w:rFonts w:hint="eastAsia" w:ascii="仿宋" w:hAnsi="仿宋" w:eastAsia="仿宋" w:cs="仿宋"/>
          <w:color w:val="000000"/>
          <w:kern w:val="0"/>
          <w:sz w:val="32"/>
          <w:szCs w:val="32"/>
          <w:highlight w:val="none"/>
        </w:rPr>
        <w:t>对林业有害生物防治及松材线虫病除治经费</w:t>
      </w:r>
      <w:r>
        <w:rPr>
          <w:rFonts w:hint="eastAsia" w:ascii="仿宋" w:hAnsi="仿宋" w:eastAsia="仿宋" w:cs="仿宋"/>
          <w:color w:val="000000"/>
          <w:kern w:val="0"/>
          <w:sz w:val="32"/>
          <w:szCs w:val="32"/>
          <w:highlight w:val="none"/>
          <w:lang w:eastAsia="zh-CN"/>
        </w:rPr>
        <w:t>，增加萨尔浒自营收入经费。</w:t>
      </w:r>
    </w:p>
    <w:p w14:paraId="69FB57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二、关于</w:t>
      </w:r>
      <w:r>
        <w:rPr>
          <w:rFonts w:hint="eastAsia" w:ascii="仿宋" w:hAnsi="仿宋" w:eastAsia="仿宋" w:cs="仿宋"/>
          <w:b/>
          <w:bCs/>
          <w:color w:val="auto"/>
          <w:sz w:val="32"/>
          <w:szCs w:val="32"/>
          <w:lang w:eastAsia="zh-CN"/>
        </w:rPr>
        <w:t>2025年</w:t>
      </w:r>
      <w:r>
        <w:rPr>
          <w:rFonts w:hint="eastAsia" w:ascii="仿宋" w:hAnsi="仿宋" w:eastAsia="仿宋" w:cs="仿宋"/>
          <w:b/>
          <w:bCs/>
          <w:color w:val="auto"/>
          <w:sz w:val="32"/>
          <w:szCs w:val="32"/>
        </w:rPr>
        <w:t>财政拨款收支预算情况说明</w:t>
      </w:r>
    </w:p>
    <w:p w14:paraId="5DE50A1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财政拨款收支总预算</w:t>
      </w:r>
      <w:r>
        <w:rPr>
          <w:rFonts w:hint="eastAsia" w:ascii="仿宋" w:hAnsi="仿宋" w:eastAsia="仿宋" w:cs="仿宋"/>
          <w:color w:val="auto"/>
          <w:sz w:val="32"/>
          <w:szCs w:val="32"/>
          <w:lang w:val="en-US" w:eastAsia="zh-CN"/>
        </w:rPr>
        <w:t>,4763.73</w:t>
      </w:r>
      <w:r>
        <w:rPr>
          <w:rFonts w:hint="eastAsia" w:ascii="仿宋" w:hAnsi="仿宋" w:eastAsia="仿宋" w:cs="仿宋"/>
          <w:color w:val="auto"/>
          <w:sz w:val="32"/>
          <w:szCs w:val="32"/>
        </w:rPr>
        <w:t>万元，收入预算按来源分为 一般公共预算收入，政府性基金收入。具体包括：当年财政拨款收入</w:t>
      </w:r>
      <w:r>
        <w:rPr>
          <w:rFonts w:hint="eastAsia" w:ascii="仿宋" w:hAnsi="仿宋" w:eastAsia="仿宋" w:cs="仿宋"/>
          <w:color w:val="auto"/>
          <w:sz w:val="32"/>
          <w:szCs w:val="32"/>
          <w:lang w:val="en-US" w:eastAsia="zh-CN"/>
        </w:rPr>
        <w:t>4488.73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w:t>
      </w:r>
      <w:r>
        <w:rPr>
          <w:rFonts w:hint="eastAsia" w:ascii="仿宋" w:hAnsi="仿宋" w:eastAsia="仿宋" w:cs="仿宋"/>
          <w:color w:val="auto"/>
          <w:sz w:val="32"/>
          <w:szCs w:val="32"/>
          <w:lang w:val="en-US" w:eastAsia="zh-CN"/>
        </w:rPr>
        <w:t>275</w:t>
      </w:r>
      <w:r>
        <w:rPr>
          <w:rFonts w:hint="eastAsia" w:ascii="仿宋" w:hAnsi="仿宋" w:eastAsia="仿宋" w:cs="仿宋"/>
          <w:color w:val="auto"/>
          <w:sz w:val="32"/>
          <w:szCs w:val="32"/>
        </w:rPr>
        <w:t>万元。</w:t>
      </w:r>
      <w:r>
        <w:rPr>
          <w:rFonts w:hint="eastAsia" w:ascii="仿宋" w:hAnsi="仿宋" w:eastAsia="仿宋" w:cs="仿宋"/>
          <w:color w:val="000000"/>
          <w:sz w:val="32"/>
          <w:szCs w:val="32"/>
        </w:rPr>
        <w:t>按功能支出分类包括：社会保障和就业支出</w:t>
      </w:r>
      <w:r>
        <w:rPr>
          <w:rFonts w:hint="eastAsia" w:ascii="仿宋" w:hAnsi="仿宋" w:eastAsia="仿宋" w:cs="仿宋"/>
          <w:color w:val="000000"/>
          <w:sz w:val="32"/>
          <w:szCs w:val="32"/>
          <w:lang w:val="en-US" w:eastAsia="zh-CN"/>
        </w:rPr>
        <w:t>594.99</w:t>
      </w:r>
      <w:r>
        <w:rPr>
          <w:rFonts w:hint="eastAsia" w:ascii="仿宋" w:hAnsi="仿宋" w:eastAsia="仿宋" w:cs="仿宋"/>
          <w:color w:val="000000"/>
          <w:sz w:val="32"/>
          <w:szCs w:val="32"/>
        </w:rPr>
        <w:t>万元、卫生健康支出</w:t>
      </w:r>
      <w:r>
        <w:rPr>
          <w:rFonts w:hint="eastAsia" w:ascii="仿宋" w:hAnsi="仿宋" w:eastAsia="仿宋" w:cs="仿宋"/>
          <w:color w:val="000000"/>
          <w:sz w:val="32"/>
          <w:szCs w:val="32"/>
          <w:lang w:val="en-US" w:eastAsia="zh-CN"/>
        </w:rPr>
        <w:t>146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节能环保支出</w:t>
      </w:r>
      <w:r>
        <w:rPr>
          <w:rFonts w:hint="eastAsia" w:ascii="仿宋" w:hAnsi="仿宋" w:eastAsia="仿宋" w:cs="仿宋"/>
          <w:color w:val="000000"/>
          <w:sz w:val="32"/>
          <w:szCs w:val="32"/>
          <w:lang w:val="en-US" w:eastAsia="zh-CN"/>
        </w:rPr>
        <w:t>211.9万元、</w:t>
      </w:r>
      <w:r>
        <w:rPr>
          <w:rFonts w:hint="eastAsia" w:ascii="仿宋" w:hAnsi="仿宋" w:eastAsia="仿宋" w:cs="仿宋"/>
          <w:color w:val="000000"/>
          <w:sz w:val="32"/>
          <w:szCs w:val="32"/>
          <w:lang w:eastAsia="zh-CN"/>
        </w:rPr>
        <w:t>农林水</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3118.06</w:t>
      </w:r>
      <w:r>
        <w:rPr>
          <w:rFonts w:hint="eastAsia" w:ascii="仿宋" w:hAnsi="仿宋" w:eastAsia="仿宋" w:cs="仿宋"/>
          <w:color w:val="000000"/>
          <w:sz w:val="32"/>
          <w:szCs w:val="32"/>
        </w:rPr>
        <w:t>万元、住房保障支出</w:t>
      </w:r>
      <w:r>
        <w:rPr>
          <w:rFonts w:hint="eastAsia" w:ascii="仿宋" w:hAnsi="仿宋" w:eastAsia="仿宋" w:cs="仿宋"/>
          <w:color w:val="000000"/>
          <w:sz w:val="32"/>
          <w:szCs w:val="32"/>
          <w:lang w:val="en-US" w:eastAsia="zh-CN"/>
        </w:rPr>
        <w:t>417.78</w:t>
      </w:r>
      <w:r>
        <w:rPr>
          <w:rFonts w:hint="eastAsia" w:ascii="仿宋" w:hAnsi="仿宋" w:eastAsia="仿宋" w:cs="仿宋"/>
          <w:color w:val="000000"/>
          <w:sz w:val="32"/>
          <w:szCs w:val="32"/>
        </w:rPr>
        <w:t>万元；按经济支出分类包括:</w:t>
      </w:r>
      <w:r>
        <w:rPr>
          <w:rFonts w:hint="eastAsia" w:ascii="仿宋" w:hAnsi="仿宋" w:eastAsia="仿宋" w:cs="仿宋"/>
          <w:color w:val="000000"/>
          <w:sz w:val="32"/>
          <w:szCs w:val="32"/>
          <w:lang w:val="en-US" w:eastAsia="zh-CN"/>
        </w:rPr>
        <w:t>机关</w:t>
      </w:r>
      <w:r>
        <w:rPr>
          <w:rFonts w:hint="eastAsia" w:ascii="仿宋" w:hAnsi="仿宋" w:eastAsia="仿宋" w:cs="仿宋"/>
          <w:color w:val="000000"/>
          <w:sz w:val="32"/>
          <w:szCs w:val="32"/>
        </w:rPr>
        <w:t xml:space="preserve">工资福利支出 </w:t>
      </w:r>
      <w:r>
        <w:rPr>
          <w:rFonts w:hint="eastAsia" w:ascii="仿宋" w:hAnsi="仿宋" w:eastAsia="仿宋" w:cs="仿宋"/>
          <w:color w:val="000000"/>
          <w:sz w:val="32"/>
          <w:szCs w:val="32"/>
          <w:lang w:val="en-US" w:eastAsia="zh-CN"/>
        </w:rPr>
        <w:t>2911.03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机关</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348.96</w:t>
      </w:r>
      <w:r>
        <w:rPr>
          <w:rFonts w:hint="eastAsia" w:ascii="仿宋" w:hAnsi="仿宋" w:eastAsia="仿宋" w:cs="仿宋"/>
          <w:color w:val="000000"/>
          <w:sz w:val="32"/>
          <w:szCs w:val="32"/>
        </w:rPr>
        <w:t>万元，对个人和家庭的补助支出</w:t>
      </w:r>
      <w:r>
        <w:rPr>
          <w:rFonts w:hint="eastAsia" w:ascii="仿宋" w:hAnsi="仿宋" w:eastAsia="仿宋" w:cs="仿宋"/>
          <w:color w:val="000000"/>
          <w:sz w:val="32"/>
          <w:szCs w:val="32"/>
          <w:lang w:val="en-US" w:eastAsia="zh-CN"/>
        </w:rPr>
        <w:t>104.54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BFFDAB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sz w:val="32"/>
          <w:szCs w:val="32"/>
        </w:rPr>
        <w:t>财政拨款收入预算增减情况：财政拨款收入(含上级提前告知转移支付资金)</w:t>
      </w:r>
      <w:r>
        <w:rPr>
          <w:rFonts w:hint="eastAsia" w:ascii="仿宋" w:hAnsi="仿宋" w:eastAsia="仿宋" w:cs="仿宋"/>
          <w:color w:val="000000"/>
          <w:sz w:val="32"/>
          <w:szCs w:val="32"/>
          <w:lang w:val="en-US" w:eastAsia="zh-CN"/>
        </w:rPr>
        <w:t>4763.73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比上年增加</w:t>
      </w:r>
      <w:r>
        <w:rPr>
          <w:rFonts w:hint="eastAsia" w:ascii="仿宋" w:hAnsi="仿宋" w:eastAsia="仿宋" w:cs="仿宋"/>
          <w:color w:val="000000"/>
          <w:kern w:val="0"/>
          <w:sz w:val="32"/>
          <w:szCs w:val="32"/>
          <w:highlight w:val="none"/>
          <w:lang w:val="en-US" w:eastAsia="zh-CN"/>
        </w:rPr>
        <w:t>1237.76</w:t>
      </w:r>
      <w:r>
        <w:rPr>
          <w:rFonts w:hint="eastAsia" w:ascii="仿宋" w:hAnsi="仿宋" w:eastAsia="仿宋" w:cs="仿宋"/>
          <w:color w:val="000000"/>
          <w:kern w:val="0"/>
          <w:sz w:val="32"/>
          <w:szCs w:val="32"/>
          <w:highlight w:val="none"/>
        </w:rPr>
        <w:t>万元，增幅</w:t>
      </w:r>
      <w:r>
        <w:rPr>
          <w:rFonts w:hint="eastAsia" w:ascii="仿宋" w:hAnsi="仿宋" w:eastAsia="仿宋" w:cs="仿宋"/>
          <w:color w:val="000000"/>
          <w:kern w:val="0"/>
          <w:sz w:val="32"/>
          <w:szCs w:val="32"/>
          <w:highlight w:val="none"/>
          <w:lang w:val="en-US" w:eastAsia="zh-CN"/>
        </w:rPr>
        <w:t>35.1</w:t>
      </w:r>
      <w:r>
        <w:rPr>
          <w:rFonts w:hint="eastAsia" w:ascii="仿宋" w:hAnsi="仿宋" w:eastAsia="仿宋" w:cs="仿宋"/>
          <w:color w:val="000000"/>
          <w:kern w:val="0"/>
          <w:sz w:val="32"/>
          <w:szCs w:val="32"/>
          <w:highlight w:val="none"/>
        </w:rPr>
        <w:t>%，增加主要原因是</w:t>
      </w:r>
      <w:r>
        <w:rPr>
          <w:rFonts w:hint="eastAsia" w:ascii="仿宋" w:hAnsi="仿宋" w:eastAsia="仿宋" w:cs="仿宋"/>
          <w:color w:val="000000"/>
          <w:kern w:val="0"/>
          <w:sz w:val="32"/>
          <w:szCs w:val="32"/>
          <w:highlight w:val="none"/>
          <w:lang w:eastAsia="zh-CN"/>
        </w:rPr>
        <w:t>市林草局2024年4月新成立，没有年初预算数，所以增幅比率较大。林草中心</w:t>
      </w:r>
      <w:r>
        <w:rPr>
          <w:rFonts w:hint="eastAsia" w:ascii="仿宋" w:hAnsi="仿宋" w:eastAsia="仿宋" w:cs="仿宋"/>
          <w:color w:val="000000"/>
          <w:kern w:val="0"/>
          <w:sz w:val="32"/>
          <w:szCs w:val="32"/>
          <w:highlight w:val="none"/>
          <w:lang w:val="en-US" w:eastAsia="zh-CN"/>
        </w:rPr>
        <w:t>2025年各分支机构人员薪级调整刚性支出增加及项目预算增加。</w:t>
      </w:r>
    </w:p>
    <w:p w14:paraId="19F1D48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三、关于</w:t>
      </w:r>
      <w:r>
        <w:rPr>
          <w:rFonts w:hint="eastAsia" w:ascii="仿宋" w:hAnsi="仿宋" w:eastAsia="仿宋" w:cs="仿宋"/>
          <w:b/>
          <w:bCs/>
          <w:color w:val="auto"/>
          <w:sz w:val="32"/>
          <w:szCs w:val="32"/>
          <w:lang w:eastAsia="zh-CN"/>
        </w:rPr>
        <w:t>2025年</w:t>
      </w:r>
      <w:r>
        <w:rPr>
          <w:rFonts w:hint="eastAsia" w:ascii="仿宋" w:hAnsi="仿宋" w:eastAsia="仿宋" w:cs="仿宋"/>
          <w:b/>
          <w:bCs/>
          <w:color w:val="auto"/>
          <w:sz w:val="32"/>
          <w:szCs w:val="32"/>
        </w:rPr>
        <w:t>一般公共预算</w:t>
      </w:r>
    </w:p>
    <w:p w14:paraId="6775BCA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基本支出情况说明</w:t>
      </w:r>
    </w:p>
    <w:p w14:paraId="0093214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F497D"/>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一般公共预算基本支出</w:t>
      </w:r>
      <w:r>
        <w:rPr>
          <w:rFonts w:hint="eastAsia" w:ascii="仿宋" w:hAnsi="仿宋" w:eastAsia="仿宋" w:cs="仿宋"/>
          <w:color w:val="auto"/>
          <w:sz w:val="32"/>
          <w:szCs w:val="32"/>
          <w:lang w:val="en-US" w:eastAsia="zh-CN"/>
        </w:rPr>
        <w:t>3364.53</w:t>
      </w:r>
      <w:r>
        <w:rPr>
          <w:rFonts w:hint="eastAsia" w:ascii="仿宋" w:hAnsi="仿宋" w:eastAsia="仿宋" w:cs="仿宋"/>
          <w:color w:val="auto"/>
          <w:sz w:val="32"/>
          <w:szCs w:val="32"/>
        </w:rPr>
        <w:t>万元，</w:t>
      </w:r>
      <w:r>
        <w:rPr>
          <w:rFonts w:hint="eastAsia" w:ascii="仿宋" w:hAnsi="仿宋" w:eastAsia="仿宋" w:cs="仿宋"/>
          <w:color w:val="000000"/>
          <w:sz w:val="32"/>
          <w:szCs w:val="32"/>
        </w:rPr>
        <w:t>其中：工资福利支出</w:t>
      </w:r>
      <w:r>
        <w:rPr>
          <w:rFonts w:hint="eastAsia" w:ascii="仿宋" w:hAnsi="仿宋" w:eastAsia="仿宋" w:cs="仿宋"/>
          <w:color w:val="000000"/>
          <w:sz w:val="32"/>
          <w:szCs w:val="32"/>
          <w:lang w:val="en-US" w:eastAsia="zh-CN"/>
        </w:rPr>
        <w:t>2911.03</w:t>
      </w:r>
      <w:r>
        <w:rPr>
          <w:rFonts w:hint="eastAsia" w:ascii="仿宋" w:hAnsi="仿宋" w:eastAsia="仿宋" w:cs="仿宋"/>
          <w:color w:val="000000"/>
          <w:sz w:val="32"/>
          <w:szCs w:val="32"/>
        </w:rPr>
        <w:t>万元，商品和服务支出</w:t>
      </w:r>
      <w:r>
        <w:rPr>
          <w:rFonts w:hint="eastAsia" w:ascii="仿宋" w:hAnsi="仿宋" w:eastAsia="仿宋" w:cs="仿宋"/>
          <w:color w:val="000000"/>
          <w:sz w:val="32"/>
          <w:szCs w:val="32"/>
          <w:lang w:val="en-US" w:eastAsia="zh-CN"/>
        </w:rPr>
        <w:t>348.96</w:t>
      </w:r>
      <w:r>
        <w:rPr>
          <w:rFonts w:hint="eastAsia" w:ascii="仿宋" w:hAnsi="仿宋" w:eastAsia="仿宋" w:cs="仿宋"/>
          <w:color w:val="000000"/>
          <w:sz w:val="32"/>
          <w:szCs w:val="32"/>
        </w:rPr>
        <w:t>万元，对个人和家庭补助支出</w:t>
      </w:r>
      <w:r>
        <w:rPr>
          <w:rFonts w:hint="eastAsia" w:ascii="仿宋" w:hAnsi="仿宋" w:eastAsia="仿宋" w:cs="仿宋"/>
          <w:color w:val="000000"/>
          <w:sz w:val="32"/>
          <w:szCs w:val="32"/>
          <w:lang w:val="en-US" w:eastAsia="zh-CN"/>
        </w:rPr>
        <w:t>104.54</w:t>
      </w:r>
      <w:r>
        <w:rPr>
          <w:rFonts w:hint="eastAsia" w:ascii="仿宋" w:hAnsi="仿宋" w:eastAsia="仿宋" w:cs="仿宋"/>
          <w:color w:val="000000"/>
          <w:sz w:val="32"/>
          <w:szCs w:val="32"/>
        </w:rPr>
        <w:t>万元。</w:t>
      </w:r>
    </w:p>
    <w:p w14:paraId="1E7AA0D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工资福利支出</w:t>
      </w:r>
      <w:r>
        <w:rPr>
          <w:rFonts w:hint="eastAsia" w:ascii="仿宋" w:hAnsi="仿宋" w:eastAsia="仿宋" w:cs="仿宋"/>
          <w:color w:val="000000"/>
          <w:sz w:val="32"/>
          <w:szCs w:val="32"/>
          <w:lang w:val="en-US" w:eastAsia="zh-CN"/>
        </w:rPr>
        <w:t>2911.03</w:t>
      </w:r>
      <w:r>
        <w:rPr>
          <w:rFonts w:hint="eastAsia" w:ascii="仿宋" w:hAnsi="仿宋" w:eastAsia="仿宋" w:cs="仿宋"/>
          <w:color w:val="000000"/>
          <w:sz w:val="32"/>
          <w:szCs w:val="32"/>
        </w:rPr>
        <w:t>万元，主要包括：基本工资</w:t>
      </w:r>
      <w:r>
        <w:rPr>
          <w:rFonts w:hint="eastAsia" w:ascii="仿宋" w:hAnsi="仿宋" w:eastAsia="仿宋" w:cs="仿宋"/>
          <w:color w:val="000000"/>
          <w:sz w:val="32"/>
          <w:szCs w:val="32"/>
          <w:lang w:val="en-US" w:eastAsia="zh-CN"/>
        </w:rPr>
        <w:t>987.81</w:t>
      </w:r>
      <w:r>
        <w:rPr>
          <w:rFonts w:hint="eastAsia" w:ascii="仿宋" w:hAnsi="仿宋" w:eastAsia="仿宋" w:cs="仿宋"/>
          <w:color w:val="000000"/>
          <w:sz w:val="32"/>
          <w:szCs w:val="32"/>
        </w:rPr>
        <w:t>万元、津贴补贴（含购房补贴、在职个人取暖费等）</w:t>
      </w:r>
      <w:r>
        <w:rPr>
          <w:rFonts w:hint="eastAsia" w:ascii="仿宋" w:hAnsi="仿宋" w:eastAsia="仿宋" w:cs="仿宋"/>
          <w:color w:val="000000"/>
          <w:sz w:val="32"/>
          <w:szCs w:val="32"/>
          <w:lang w:val="en-US" w:eastAsia="zh-CN"/>
        </w:rPr>
        <w:t>145.27</w:t>
      </w:r>
      <w:r>
        <w:rPr>
          <w:rFonts w:hint="eastAsia" w:ascii="仿宋" w:hAnsi="仿宋" w:eastAsia="仿宋" w:cs="仿宋"/>
          <w:color w:val="000000"/>
          <w:sz w:val="32"/>
          <w:szCs w:val="32"/>
        </w:rPr>
        <w:t>万元、奖金</w:t>
      </w:r>
      <w:r>
        <w:rPr>
          <w:rFonts w:hint="eastAsia" w:ascii="仿宋" w:hAnsi="仿宋" w:eastAsia="仿宋" w:cs="仿宋"/>
          <w:color w:val="000000"/>
          <w:sz w:val="32"/>
          <w:szCs w:val="32"/>
          <w:lang w:val="en-US" w:eastAsia="zh-CN"/>
        </w:rPr>
        <w:t>55.36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绩效工资</w:t>
      </w:r>
      <w:r>
        <w:rPr>
          <w:rFonts w:hint="eastAsia" w:ascii="仿宋" w:hAnsi="仿宋" w:eastAsia="仿宋" w:cs="仿宋"/>
          <w:color w:val="000000"/>
          <w:sz w:val="32"/>
          <w:szCs w:val="32"/>
          <w:lang w:val="en-US" w:eastAsia="zh-CN"/>
        </w:rPr>
        <w:t>651.47万元、</w:t>
      </w:r>
      <w:r>
        <w:rPr>
          <w:rFonts w:hint="eastAsia" w:ascii="仿宋" w:hAnsi="仿宋" w:eastAsia="仿宋" w:cs="仿宋"/>
          <w:color w:val="000000"/>
          <w:sz w:val="32"/>
          <w:szCs w:val="32"/>
        </w:rPr>
        <w:t>机关事业单位基本养老保险</w:t>
      </w:r>
      <w:r>
        <w:rPr>
          <w:rFonts w:hint="eastAsia" w:ascii="仿宋" w:hAnsi="仿宋" w:eastAsia="仿宋" w:cs="仿宋"/>
          <w:color w:val="000000"/>
          <w:sz w:val="32"/>
          <w:szCs w:val="32"/>
          <w:lang w:val="en-US" w:eastAsia="zh-CN"/>
        </w:rPr>
        <w:t>361.79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职业年金缴费</w:t>
      </w:r>
      <w:r>
        <w:rPr>
          <w:rFonts w:hint="eastAsia" w:ascii="仿宋" w:hAnsi="仿宋" w:eastAsia="仿宋" w:cs="仿宋"/>
          <w:color w:val="000000"/>
          <w:sz w:val="32"/>
          <w:szCs w:val="32"/>
          <w:lang w:val="en-US" w:eastAsia="zh-CN"/>
        </w:rPr>
        <w:t>122.17万元、</w:t>
      </w:r>
      <w:r>
        <w:rPr>
          <w:rFonts w:hint="eastAsia" w:ascii="仿宋" w:hAnsi="仿宋" w:eastAsia="仿宋" w:cs="仿宋"/>
          <w:color w:val="000000"/>
          <w:sz w:val="32"/>
          <w:szCs w:val="32"/>
        </w:rPr>
        <w:t>职工基本医疗保险缴费</w:t>
      </w:r>
      <w:r>
        <w:rPr>
          <w:rFonts w:hint="eastAsia" w:ascii="仿宋" w:hAnsi="仿宋" w:eastAsia="仿宋" w:cs="仿宋"/>
          <w:color w:val="000000"/>
          <w:sz w:val="32"/>
          <w:szCs w:val="32"/>
          <w:lang w:val="en-US" w:eastAsia="zh-CN"/>
        </w:rPr>
        <w:t>146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其他社会保障缴费</w:t>
      </w:r>
      <w:r>
        <w:rPr>
          <w:rFonts w:hint="eastAsia" w:ascii="仿宋" w:hAnsi="仿宋" w:eastAsia="仿宋" w:cs="仿宋"/>
          <w:color w:val="000000"/>
          <w:sz w:val="32"/>
          <w:szCs w:val="32"/>
          <w:lang w:val="en-US" w:eastAsia="zh-CN"/>
        </w:rPr>
        <w:t>23.38万元、</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417.78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60F905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348.96</w:t>
      </w:r>
      <w:r>
        <w:rPr>
          <w:rFonts w:hint="eastAsia" w:ascii="仿宋" w:hAnsi="仿宋" w:eastAsia="仿宋" w:cs="仿宋"/>
          <w:color w:val="000000"/>
          <w:sz w:val="32"/>
          <w:szCs w:val="32"/>
        </w:rPr>
        <w:t>万元，主要包括：办公费</w:t>
      </w:r>
      <w:r>
        <w:rPr>
          <w:rFonts w:hint="eastAsia" w:ascii="仿宋" w:hAnsi="仿宋" w:eastAsia="仿宋" w:cs="仿宋"/>
          <w:color w:val="000000"/>
          <w:sz w:val="32"/>
          <w:szCs w:val="32"/>
          <w:lang w:val="en-US" w:eastAsia="zh-CN"/>
        </w:rPr>
        <w:t>80.74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邮电费</w:t>
      </w:r>
      <w:r>
        <w:rPr>
          <w:rFonts w:hint="eastAsia" w:ascii="仿宋" w:hAnsi="仿宋" w:eastAsia="仿宋" w:cs="仿宋"/>
          <w:color w:val="000000"/>
          <w:sz w:val="32"/>
          <w:szCs w:val="32"/>
          <w:lang w:val="en-US" w:eastAsia="zh-CN"/>
        </w:rPr>
        <w:t>1.9万元、取暖费92.22万元、公务接待费1.09万元、</w:t>
      </w:r>
      <w:r>
        <w:rPr>
          <w:rFonts w:hint="eastAsia" w:ascii="仿宋" w:hAnsi="仿宋" w:eastAsia="仿宋" w:cs="仿宋"/>
          <w:color w:val="000000"/>
          <w:sz w:val="32"/>
          <w:szCs w:val="32"/>
        </w:rPr>
        <w:t>劳务费</w:t>
      </w:r>
      <w:r>
        <w:rPr>
          <w:rFonts w:hint="eastAsia" w:ascii="仿宋" w:hAnsi="仿宋" w:eastAsia="仿宋" w:cs="仿宋"/>
          <w:color w:val="000000"/>
          <w:sz w:val="32"/>
          <w:szCs w:val="32"/>
          <w:lang w:val="en-US" w:eastAsia="zh-CN"/>
        </w:rPr>
        <w:t>37.29</w:t>
      </w:r>
      <w:r>
        <w:rPr>
          <w:rFonts w:hint="eastAsia" w:ascii="仿宋" w:hAnsi="仿宋" w:eastAsia="仿宋" w:cs="仿宋"/>
          <w:color w:val="000000"/>
          <w:sz w:val="32"/>
          <w:szCs w:val="32"/>
        </w:rPr>
        <w:t>万元、工会经费</w:t>
      </w:r>
      <w:r>
        <w:rPr>
          <w:rFonts w:hint="eastAsia" w:ascii="仿宋" w:hAnsi="仿宋" w:eastAsia="仿宋" w:cs="仿宋"/>
          <w:color w:val="000000"/>
          <w:sz w:val="32"/>
          <w:szCs w:val="32"/>
          <w:lang w:val="en-US" w:eastAsia="zh-CN"/>
        </w:rPr>
        <w:t>33.36</w:t>
      </w:r>
      <w:r>
        <w:rPr>
          <w:rFonts w:hint="eastAsia" w:ascii="仿宋" w:hAnsi="仿宋" w:eastAsia="仿宋" w:cs="仿宋"/>
          <w:color w:val="000000"/>
          <w:sz w:val="32"/>
          <w:szCs w:val="32"/>
        </w:rPr>
        <w:t>万元、公务用车运行维护费</w:t>
      </w:r>
      <w:r>
        <w:rPr>
          <w:rFonts w:hint="eastAsia" w:ascii="仿宋" w:hAnsi="仿宋" w:eastAsia="仿宋" w:cs="仿宋"/>
          <w:color w:val="000000"/>
          <w:sz w:val="32"/>
          <w:szCs w:val="32"/>
          <w:lang w:val="en-US" w:eastAsia="zh-CN"/>
        </w:rPr>
        <w:t>57.3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其他交通费用</w:t>
      </w:r>
      <w:r>
        <w:rPr>
          <w:rFonts w:hint="eastAsia" w:ascii="仿宋" w:hAnsi="仿宋" w:eastAsia="仿宋" w:cs="仿宋"/>
          <w:color w:val="000000"/>
          <w:sz w:val="32"/>
          <w:szCs w:val="32"/>
          <w:lang w:val="en-US" w:eastAsia="zh-CN"/>
        </w:rPr>
        <w:t>21.05</w:t>
      </w:r>
      <w:r>
        <w:rPr>
          <w:rFonts w:hint="eastAsia" w:ascii="仿宋" w:hAnsi="仿宋" w:eastAsia="仿宋" w:cs="仿宋"/>
          <w:color w:val="000000"/>
          <w:sz w:val="32"/>
          <w:szCs w:val="32"/>
        </w:rPr>
        <w:t>万元和其他商品服务支出</w:t>
      </w:r>
      <w:r>
        <w:rPr>
          <w:rFonts w:hint="eastAsia" w:ascii="仿宋" w:hAnsi="仿宋" w:eastAsia="仿宋" w:cs="仿宋"/>
          <w:color w:val="000000"/>
          <w:sz w:val="32"/>
          <w:szCs w:val="32"/>
          <w:lang w:val="en-US" w:eastAsia="zh-CN"/>
        </w:rPr>
        <w:t>24.01</w:t>
      </w:r>
      <w:r>
        <w:rPr>
          <w:rFonts w:hint="eastAsia" w:ascii="仿宋" w:hAnsi="仿宋" w:eastAsia="仿宋" w:cs="仿宋"/>
          <w:color w:val="000000"/>
          <w:sz w:val="32"/>
          <w:szCs w:val="32"/>
        </w:rPr>
        <w:t>万元。</w:t>
      </w:r>
    </w:p>
    <w:p w14:paraId="7EAD0944">
      <w:pPr>
        <w:pStyle w:val="4"/>
        <w:keepNext w:val="0"/>
        <w:keepLines w:val="0"/>
        <w:widowControl/>
        <w:suppressLineNumbers w:val="0"/>
        <w:spacing w:before="0" w:beforeAutospacing="0" w:after="0" w:afterAutospacing="0" w:line="23" w:lineRule="atLeast"/>
        <w:ind w:left="0" w:leftChars="0" w:firstLine="608" w:firstLineChars="19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对个人和家庭的补助</w:t>
      </w:r>
      <w:r>
        <w:rPr>
          <w:rFonts w:hint="eastAsia" w:ascii="仿宋" w:hAnsi="仿宋" w:eastAsia="仿宋" w:cs="仿宋"/>
          <w:color w:val="000000"/>
          <w:sz w:val="32"/>
          <w:szCs w:val="32"/>
          <w:lang w:val="en-US" w:eastAsia="zh-CN"/>
        </w:rPr>
        <w:t>104.54万元，主要包括：退休费82.93万元、抚恤金7.77万元、生活补助13.84万元。</w:t>
      </w:r>
    </w:p>
    <w:p w14:paraId="2649252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四、关于</w:t>
      </w:r>
      <w:r>
        <w:rPr>
          <w:rFonts w:hint="eastAsia" w:ascii="仿宋" w:hAnsi="仿宋" w:eastAsia="仿宋" w:cs="仿宋"/>
          <w:b/>
          <w:bCs/>
          <w:color w:val="auto"/>
          <w:sz w:val="32"/>
          <w:szCs w:val="32"/>
          <w:lang w:eastAsia="zh-CN"/>
        </w:rPr>
        <w:t>2025年</w:t>
      </w:r>
      <w:r>
        <w:rPr>
          <w:rFonts w:hint="eastAsia" w:ascii="仿宋" w:hAnsi="仿宋" w:eastAsia="仿宋" w:cs="仿宋"/>
          <w:b/>
          <w:bCs/>
          <w:color w:val="auto"/>
          <w:sz w:val="32"/>
          <w:szCs w:val="32"/>
        </w:rPr>
        <w:t>“三公”经费预算情况说明</w:t>
      </w:r>
    </w:p>
    <w:p w14:paraId="7CF7A416">
      <w:pPr>
        <w:widowControl/>
        <w:shd w:val="clear" w:color="auto" w:fill="FFFFFF"/>
        <w:spacing w:line="315" w:lineRule="atLeast"/>
        <w:rPr>
          <w:rFonts w:ascii="宋体" w:hAnsi="宋体"/>
          <w:color w:val="000000"/>
          <w:kern w:val="0"/>
          <w:sz w:val="32"/>
          <w:szCs w:val="32"/>
          <w:highlight w:val="none"/>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“三公”经费预算数</w:t>
      </w:r>
      <w:r>
        <w:rPr>
          <w:rFonts w:hint="eastAsia" w:ascii="仿宋" w:hAnsi="仿宋" w:eastAsia="仿宋" w:cs="仿宋"/>
          <w:color w:val="000000"/>
          <w:sz w:val="32"/>
          <w:szCs w:val="32"/>
          <w:lang w:val="en-US" w:eastAsia="zh-CN"/>
        </w:rPr>
        <w:t>58.39</w:t>
      </w:r>
      <w:r>
        <w:rPr>
          <w:rFonts w:hint="eastAsia" w:ascii="仿宋" w:hAnsi="仿宋" w:eastAsia="仿宋" w:cs="仿宋"/>
          <w:color w:val="000000"/>
          <w:sz w:val="32"/>
          <w:szCs w:val="32"/>
        </w:rPr>
        <w:t>万元，其中：公务接待费用</w:t>
      </w:r>
      <w:r>
        <w:rPr>
          <w:rFonts w:hint="eastAsia" w:ascii="仿宋" w:hAnsi="仿宋" w:eastAsia="仿宋" w:cs="仿宋"/>
          <w:color w:val="000000"/>
          <w:sz w:val="32"/>
          <w:szCs w:val="32"/>
          <w:lang w:val="en-US" w:eastAsia="zh-CN"/>
        </w:rPr>
        <w:t>1.09</w:t>
      </w:r>
      <w:r>
        <w:rPr>
          <w:rFonts w:hint="eastAsia" w:ascii="仿宋" w:hAnsi="仿宋" w:eastAsia="仿宋" w:cs="仿宋"/>
          <w:color w:val="000000"/>
          <w:sz w:val="32"/>
          <w:szCs w:val="32"/>
        </w:rPr>
        <w:t>万元；因公出国（境）经费支出 0 万元；公务用车运行维护费</w:t>
      </w:r>
      <w:r>
        <w:rPr>
          <w:rFonts w:hint="eastAsia" w:ascii="仿宋" w:hAnsi="仿宋" w:eastAsia="仿宋" w:cs="仿宋"/>
          <w:color w:val="000000"/>
          <w:sz w:val="32"/>
          <w:szCs w:val="32"/>
          <w:lang w:val="en-US" w:eastAsia="zh-CN"/>
        </w:rPr>
        <w:t>57.3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lang w:eastAsia="zh-CN"/>
        </w:rPr>
        <w:t>同比减少</w:t>
      </w:r>
      <w:r>
        <w:rPr>
          <w:rFonts w:hint="eastAsia" w:ascii="仿宋" w:hAnsi="仿宋" w:eastAsia="仿宋" w:cs="仿宋"/>
          <w:color w:val="000000"/>
          <w:kern w:val="0"/>
          <w:sz w:val="32"/>
          <w:szCs w:val="32"/>
          <w:highlight w:val="none"/>
          <w:lang w:val="en-US" w:eastAsia="zh-CN"/>
        </w:rPr>
        <w:t>0.55万元，</w:t>
      </w:r>
      <w:r>
        <w:rPr>
          <w:rFonts w:hint="eastAsia" w:ascii="仿宋" w:hAnsi="仿宋" w:eastAsia="仿宋" w:cs="仿宋"/>
          <w:color w:val="000000"/>
          <w:kern w:val="0"/>
          <w:sz w:val="32"/>
          <w:szCs w:val="32"/>
          <w:highlight w:val="none"/>
          <w:lang w:eastAsia="zh-CN"/>
        </w:rPr>
        <w:t>因分支机构车辆减少，公务用车维护费预算减少。</w:t>
      </w:r>
    </w:p>
    <w:p w14:paraId="1E02305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五、其他重要事项情况说明</w:t>
      </w:r>
    </w:p>
    <w:p w14:paraId="4958E384">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（一）机关运行经费情况</w:t>
      </w:r>
    </w:p>
    <w:p w14:paraId="1B0260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机关及所属</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w:t>
      </w:r>
      <w:r>
        <w:rPr>
          <w:rFonts w:hint="eastAsia" w:ascii="仿宋" w:hAnsi="仿宋" w:eastAsia="仿宋" w:cs="仿宋"/>
          <w:color w:val="000000"/>
          <w:sz w:val="32"/>
          <w:szCs w:val="32"/>
          <w:lang w:eastAsia="zh-CN"/>
        </w:rPr>
        <w:t>事业</w:t>
      </w:r>
      <w:r>
        <w:rPr>
          <w:rFonts w:hint="eastAsia" w:ascii="仿宋" w:hAnsi="仿宋" w:eastAsia="仿宋" w:cs="仿宋"/>
          <w:color w:val="000000"/>
          <w:sz w:val="32"/>
          <w:szCs w:val="32"/>
        </w:rPr>
        <w:t>单位，机关运行经费预算</w:t>
      </w:r>
      <w:r>
        <w:rPr>
          <w:rFonts w:hint="eastAsia" w:ascii="仿宋" w:hAnsi="仿宋" w:eastAsia="仿宋" w:cs="仿宋"/>
          <w:color w:val="000000"/>
          <w:sz w:val="32"/>
          <w:szCs w:val="32"/>
          <w:lang w:val="en-US" w:eastAsia="zh-CN"/>
        </w:rPr>
        <w:t>143.2</w:t>
      </w:r>
      <w:r>
        <w:rPr>
          <w:rFonts w:hint="eastAsia" w:ascii="仿宋" w:hAnsi="仿宋" w:eastAsia="仿宋" w:cs="仿宋"/>
          <w:color w:val="000000"/>
          <w:sz w:val="32"/>
          <w:szCs w:val="32"/>
        </w:rPr>
        <w:t>万元。</w:t>
      </w:r>
    </w:p>
    <w:p w14:paraId="52D16D80">
      <w:pPr>
        <w:pStyle w:val="4"/>
        <w:keepNext w:val="0"/>
        <w:keepLines w:val="0"/>
        <w:widowControl/>
        <w:numPr>
          <w:ilvl w:val="0"/>
          <w:numId w:val="1"/>
        </w:numPr>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政府采购情况</w:t>
      </w:r>
    </w:p>
    <w:p w14:paraId="2DBF661B">
      <w:pPr>
        <w:pStyle w:val="4"/>
        <w:keepNext w:val="0"/>
        <w:keepLines w:val="0"/>
        <w:widowControl/>
        <w:numPr>
          <w:ilvl w:val="0"/>
          <w:numId w:val="0"/>
        </w:numPr>
        <w:suppressLineNumbers w:val="0"/>
        <w:spacing w:before="0" w:beforeAutospacing="0" w:after="0" w:afterAutospacing="0" w:line="23" w:lineRule="atLeast"/>
        <w:ind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000000"/>
          <w:kern w:val="0"/>
          <w:sz w:val="32"/>
          <w:szCs w:val="32"/>
          <w:highlight w:val="none"/>
        </w:rPr>
        <w:t>部门政府采购预算0万元。</w:t>
      </w:r>
    </w:p>
    <w:p w14:paraId="57ED6A1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（三）政府购买服务情况</w:t>
      </w:r>
    </w:p>
    <w:p w14:paraId="589751E5">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我部门政府购买服务预算</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万元，共包括以下内容：法律顾问服务</w:t>
      </w:r>
      <w:r>
        <w:rPr>
          <w:rFonts w:hint="eastAsia" w:ascii="仿宋" w:hAnsi="仿宋" w:eastAsia="仿宋" w:cs="仿宋"/>
          <w:color w:val="000000"/>
          <w:sz w:val="32"/>
          <w:szCs w:val="32"/>
          <w:lang w:val="en-US" w:eastAsia="zh-CN"/>
        </w:rPr>
        <w:t>3万元。</w:t>
      </w:r>
    </w:p>
    <w:p w14:paraId="70BEE045">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（四）国有资产占有使用情况</w:t>
      </w:r>
    </w:p>
    <w:p w14:paraId="11B2AC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截止20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年12月，本部门及所属单位共有</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个，具体包括：</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抚顺市</w:t>
      </w:r>
      <w:r>
        <w:rPr>
          <w:rFonts w:hint="eastAsia" w:ascii="仿宋" w:hAnsi="仿宋" w:eastAsia="仿宋" w:cs="仿宋"/>
          <w:color w:val="auto"/>
          <w:sz w:val="32"/>
          <w:szCs w:val="32"/>
          <w:lang w:eastAsia="zh-CN"/>
        </w:rPr>
        <w:t>林业和草原局</w:t>
      </w:r>
    </w:p>
    <w:p w14:paraId="00EEBBF8">
      <w:pPr>
        <w:pStyle w:val="4"/>
        <w:keepNext w:val="0"/>
        <w:keepLines w:val="0"/>
        <w:widowControl/>
        <w:numPr>
          <w:ilvl w:val="0"/>
          <w:numId w:val="0"/>
        </w:numPr>
        <w:suppressLineNumbers w:val="0"/>
        <w:spacing w:before="0" w:beforeAutospacing="0" w:after="0" w:afterAutospacing="0" w:line="23" w:lineRule="atLeast"/>
        <w:ind w:firstLine="960" w:firstLineChars="3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抚顺市</w:t>
      </w:r>
      <w:r>
        <w:rPr>
          <w:rFonts w:hint="eastAsia" w:ascii="仿宋" w:hAnsi="仿宋" w:eastAsia="仿宋" w:cs="仿宋"/>
          <w:color w:val="auto"/>
          <w:kern w:val="0"/>
          <w:sz w:val="32"/>
          <w:szCs w:val="32"/>
          <w:lang w:eastAsia="zh-CN"/>
        </w:rPr>
        <w:t>林业和草原发展服务中心</w:t>
      </w:r>
      <w:r>
        <w:rPr>
          <w:rFonts w:hint="eastAsia" w:ascii="仿宋" w:hAnsi="仿宋" w:eastAsia="仿宋" w:cs="仿宋"/>
          <w:color w:val="auto"/>
          <w:kern w:val="0"/>
          <w:sz w:val="32"/>
          <w:szCs w:val="32"/>
        </w:rPr>
        <w:t xml:space="preserve"> </w:t>
      </w:r>
    </w:p>
    <w:p w14:paraId="080EDDE3">
      <w:pPr>
        <w:widowControl/>
        <w:spacing w:line="360" w:lineRule="auto"/>
        <w:ind w:firstLine="420"/>
        <w:jc w:val="left"/>
        <w:rPr>
          <w:rFonts w:hint="eastAsia" w:ascii="仿宋" w:hAnsi="仿宋" w:eastAsia="仿宋" w:cs="仿宋"/>
          <w:color w:val="1D1B11"/>
          <w:kern w:val="0"/>
          <w:sz w:val="32"/>
          <w:szCs w:val="32"/>
          <w:highlight w:val="none"/>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1D1B11"/>
          <w:kern w:val="0"/>
          <w:sz w:val="32"/>
          <w:szCs w:val="32"/>
          <w:highlight w:val="none"/>
        </w:rPr>
        <w:t>本部门及所属单位实际占有使用车辆</w:t>
      </w:r>
      <w:r>
        <w:rPr>
          <w:rFonts w:hint="eastAsia" w:ascii="仿宋" w:hAnsi="仿宋" w:eastAsia="仿宋" w:cs="仿宋"/>
          <w:color w:val="1D1B11"/>
          <w:kern w:val="0"/>
          <w:sz w:val="32"/>
          <w:szCs w:val="32"/>
          <w:highlight w:val="none"/>
          <w:lang w:val="en-US" w:eastAsia="zh-CN"/>
        </w:rPr>
        <w:t>31</w:t>
      </w:r>
      <w:r>
        <w:rPr>
          <w:rFonts w:hint="eastAsia" w:ascii="仿宋" w:hAnsi="仿宋" w:eastAsia="仿宋" w:cs="仿宋"/>
          <w:color w:val="1D1B11"/>
          <w:kern w:val="0"/>
          <w:sz w:val="32"/>
          <w:szCs w:val="32"/>
          <w:highlight w:val="none"/>
        </w:rPr>
        <w:t>辆，其中：一般公务用车</w:t>
      </w:r>
      <w:r>
        <w:rPr>
          <w:rFonts w:hint="eastAsia" w:ascii="仿宋" w:hAnsi="仿宋" w:eastAsia="仿宋" w:cs="仿宋"/>
          <w:color w:val="1D1B11"/>
          <w:kern w:val="0"/>
          <w:sz w:val="32"/>
          <w:szCs w:val="32"/>
          <w:highlight w:val="none"/>
          <w:lang w:val="en-US" w:eastAsia="zh-CN"/>
        </w:rPr>
        <w:t>23</w:t>
      </w:r>
      <w:r>
        <w:rPr>
          <w:rFonts w:hint="eastAsia" w:ascii="仿宋" w:hAnsi="仿宋" w:eastAsia="仿宋" w:cs="仿宋"/>
          <w:color w:val="1D1B11"/>
          <w:kern w:val="0"/>
          <w:sz w:val="32"/>
          <w:szCs w:val="32"/>
          <w:highlight w:val="none"/>
        </w:rPr>
        <w:t>辆、特种专业技术用车</w:t>
      </w:r>
      <w:r>
        <w:rPr>
          <w:rFonts w:hint="eastAsia" w:ascii="仿宋" w:hAnsi="仿宋" w:eastAsia="仿宋" w:cs="仿宋"/>
          <w:color w:val="1D1B11"/>
          <w:kern w:val="0"/>
          <w:sz w:val="32"/>
          <w:szCs w:val="32"/>
          <w:highlight w:val="none"/>
          <w:lang w:val="en-US" w:eastAsia="zh-CN"/>
        </w:rPr>
        <w:t>7</w:t>
      </w:r>
      <w:r>
        <w:rPr>
          <w:rFonts w:hint="eastAsia" w:ascii="仿宋" w:hAnsi="仿宋" w:eastAsia="仿宋" w:cs="仿宋"/>
          <w:color w:val="1D1B11"/>
          <w:kern w:val="0"/>
          <w:sz w:val="32"/>
          <w:szCs w:val="32"/>
          <w:highlight w:val="none"/>
        </w:rPr>
        <w:t>辆，机要通信用车1辆。</w:t>
      </w:r>
    </w:p>
    <w:p w14:paraId="22CCC70B">
      <w:pPr>
        <w:widowControl/>
        <w:spacing w:line="360" w:lineRule="auto"/>
        <w:ind w:firstLine="420"/>
        <w:jc w:val="left"/>
        <w:rPr>
          <w:rFonts w:hint="eastAsia" w:ascii="仿宋" w:hAnsi="仿宋" w:eastAsia="仿宋" w:cs="仿宋"/>
          <w:color w:val="auto"/>
          <w:kern w:val="0"/>
          <w:sz w:val="32"/>
          <w:szCs w:val="32"/>
        </w:rPr>
      </w:pPr>
      <w:r>
        <w:rPr>
          <w:rFonts w:hint="eastAsia" w:ascii="仿宋" w:hAnsi="仿宋" w:eastAsia="仿宋" w:cs="仿宋"/>
          <w:color w:val="1D1B11"/>
          <w:kern w:val="0"/>
          <w:sz w:val="32"/>
          <w:szCs w:val="32"/>
          <w:highlight w:val="none"/>
        </w:rPr>
        <w:t xml:space="preserve"> 单位价值20万元以上通用设备0台（套），单位价值50万元以上专业设备1台，为大伙房林场专用木材粉碎机</w:t>
      </w:r>
      <w:r>
        <w:rPr>
          <w:rFonts w:hint="eastAsia" w:ascii="仿宋" w:hAnsi="仿宋" w:eastAsia="仿宋" w:cs="仿宋"/>
          <w:kern w:val="0"/>
          <w:sz w:val="32"/>
          <w:szCs w:val="32"/>
          <w:highlight w:val="none"/>
        </w:rPr>
        <w:t xml:space="preserve">。 </w:t>
      </w:r>
    </w:p>
    <w:p w14:paraId="2900477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（五）预算绩效情况</w:t>
      </w:r>
    </w:p>
    <w:p w14:paraId="038F1A6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所有项目支出均填报了绩效目标，共涉及</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个项目，项目支出预算合计为</w:t>
      </w:r>
      <w:r>
        <w:rPr>
          <w:rFonts w:hint="eastAsia" w:ascii="仿宋" w:hAnsi="仿宋" w:eastAsia="仿宋" w:cs="仿宋"/>
          <w:color w:val="auto"/>
          <w:sz w:val="32"/>
          <w:szCs w:val="32"/>
          <w:lang w:val="en-US" w:eastAsia="zh-CN"/>
        </w:rPr>
        <w:t>1399.2</w:t>
      </w:r>
      <w:r>
        <w:rPr>
          <w:rFonts w:hint="eastAsia" w:ascii="仿宋" w:hAnsi="仿宋" w:eastAsia="仿宋" w:cs="仿宋"/>
          <w:color w:val="auto"/>
          <w:sz w:val="32"/>
          <w:szCs w:val="32"/>
        </w:rPr>
        <w:t>万元。单个项目支出绩效目标和指标详见附表。</w:t>
      </w:r>
    </w:p>
    <w:p w14:paraId="3246D4D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）预算公开表数据中无数据的情况说明</w:t>
      </w:r>
    </w:p>
    <w:p w14:paraId="3877225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rPr>
        <w:t>预算中没有债务支出预算、部门管理专项资金预算，相应表格为空表。</w:t>
      </w:r>
    </w:p>
    <w:p w14:paraId="55A29C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10" w:firstLineChars="19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第四部分</w:t>
      </w:r>
      <w:r>
        <w:rPr>
          <w:rFonts w:hint="eastAsia"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名词解释</w:t>
      </w:r>
    </w:p>
    <w:p w14:paraId="589785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08" w:firstLineChars="19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1.财政拨款收入：指市级财政当年拨付的资金。</w:t>
      </w:r>
    </w:p>
    <w:p w14:paraId="5F475A9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2.基本支出：指保障机构正常运转、完成日常工作任务而发生的人员支出和公用支出。</w:t>
      </w:r>
    </w:p>
    <w:p w14:paraId="57F934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3.项目支出：指在基本支出之外为完成特定行政任务和事业发展目标所发生的支出。</w:t>
      </w:r>
    </w:p>
    <w:p w14:paraId="6B598D7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7F4CBE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14:paraId="375B862E">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704090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7.其他收入：指除上述“财政拨款收入”、“行政事业性收费收入”、“政府性基金收入”以外的收入。</w:t>
      </w:r>
    </w:p>
    <w:p w14:paraId="20D9513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DEE14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9.公共安全支出（类）公安（款）其他公安支出（项）：反映政府维护社会公共安全方面，其他用于公安方面的支出。</w:t>
      </w:r>
    </w:p>
    <w:p w14:paraId="1FDC22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10.社会保障和就业（类）行政事业单位离退休（款）归口管理的行政单位离退休（项）：反映实行归口管理的行政单位（包括实行公务员管理的事业单位）开支的离退休经费。</w:t>
      </w:r>
    </w:p>
    <w:p w14:paraId="3E4DED6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11.社会保障和就业（类）行政事业单位离退休（款）事业单位离退休（项）：反映实行归口管理的事业单位开支的离退休经费。</w:t>
      </w:r>
    </w:p>
    <w:p w14:paraId="679A30C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12.农林水支出（类）农业（款）行政运行（项）：反映行政单位（包括实行公务员管理的事业单位）的基本支出。</w:t>
      </w:r>
    </w:p>
    <w:p w14:paraId="03FAD00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13.农林水支出（类）农业（款）事业运行（项）：反映用于农业事业单位的基本支出，事业单位设施、系统运行与资产维护等方面的支出。</w:t>
      </w:r>
    </w:p>
    <w:p w14:paraId="0E8080E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14.农林水支出（类）农业（款）其他林业支出（项）：反映上述项目以外其他用于林业方面的支出。</w:t>
      </w:r>
    </w:p>
    <w:p w14:paraId="5024868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15.住房保障（类）住房改革（款）住房公积金（项）：反映行政事业单位按人力资源和社会保障部、财政部规定的基本工资和津贴补贴以及规定比例为职工缴纳的住房公积金。</w:t>
      </w:r>
    </w:p>
    <w:p w14:paraId="474CFAF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16.住房保障（类）住房改革（款）购房补贴（项）：反映按房改政策规定，行政事业单位向符合条件职工（含离退休人员）、军队（含武警）向转役复员离退休人员发放的用于购买住房的补贴。</w:t>
      </w:r>
    </w:p>
    <w:p w14:paraId="11F2A6BA">
      <w:pPr>
        <w:pStyle w:val="4"/>
        <w:keepNext w:val="0"/>
        <w:keepLines w:val="0"/>
        <w:widowControl/>
        <w:suppressLineNumbers w:val="0"/>
        <w:spacing w:before="0" w:beforeAutospacing="0" w:after="0" w:afterAutospacing="0" w:line="23" w:lineRule="atLeas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部门预算公开表</w:t>
      </w:r>
    </w:p>
    <w:p w14:paraId="457CE7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2025年部门预算公开表（建议作PDF格式链接）</w:t>
      </w:r>
    </w:p>
    <w:p w14:paraId="09E90C5C">
      <w:pPr>
        <w:ind w:left="0" w:leftChars="0" w:firstLine="399" w:firstLineChars="190"/>
        <w:rPr>
          <w:rFonts w:hint="eastAsia" w:eastAsia="宋体"/>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C7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164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77257"/>
    <w:multiLevelType w:val="singleLevel"/>
    <w:tmpl w:val="BFE772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BE3F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FollowedHyperlink"/>
    <w:basedOn w:val="6"/>
    <w:uiPriority w:val="0"/>
    <w:rPr>
      <w:color w:val="000000"/>
      <w:u w:val="none"/>
    </w:rPr>
  </w:style>
  <w:style w:type="character" w:styleId="8">
    <w:name w:val="Hyperlink"/>
    <w:basedOn w:val="6"/>
    <w:uiPriority w:val="0"/>
    <w:rPr>
      <w:color w:val="000000"/>
      <w:u w:val="none"/>
    </w:rPr>
  </w:style>
  <w:style w:type="character" w:customStyle="1" w:styleId="9">
    <w:name w:val="页眉 Char"/>
    <w:basedOn w:val="6"/>
    <w:link w:val="3"/>
    <w:uiPriority w:val="0"/>
    <w:rPr>
      <w:kern w:val="2"/>
      <w:sz w:val="18"/>
      <w:szCs w:val="18"/>
    </w:rPr>
  </w:style>
  <w:style w:type="character" w:customStyle="1" w:styleId="10">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3486</Words>
  <Characters>3985</Characters>
  <Lines>17</Lines>
  <Paragraphs>4</Paragraphs>
  <TotalTime>65</TotalTime>
  <ScaleCrop>false</ScaleCrop>
  <LinksUpToDate>false</LinksUpToDate>
  <CharactersWithSpaces>4048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2020-02-22T00:47:00Z</dcterms:created>
  <dc:creator>微软用户</dc:creator>
  <cp:lastModifiedBy>street angel</cp:lastModifiedBy>
  <dcterms:modified xsi:type="dcterms:W3CDTF">2025-09-04T09:59:43Z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75FFADE5A65B00AB8FF2B868C1041719_43</vt:lpwstr>
  </property>
  <property fmtid="{D5CDD505-2E9C-101B-9397-08002B2CF9AE}" pid="4" name="KSOTemplateDocerSaveRecord">
    <vt:lpwstr>eyJoZGlkIjoiMTM0ZTQ2YTMwZTZlYTc1MzA3NjI0MzI1M2I2ZGE0OGQiLCJ1c2VySWQiOiI1NzU5MjQ0NjkifQ==</vt:lpwstr>
  </property>
</Properties>
</file>