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0" w:rightChars="400"/>
        <w:rPr>
          <w:rFonts w:hint="eastAsia" w:ascii="方正仿宋简体" w:eastAsia="方正仿宋简体"/>
        </w:rPr>
      </w:pPr>
      <w:bookmarkStart w:id="0" w:name="_GoBack"/>
      <w:bookmarkEnd w:id="0"/>
    </w:p>
    <w:tbl>
      <w:tblPr>
        <w:tblStyle w:val="3"/>
        <w:tblW w:w="14088" w:type="dxa"/>
        <w:jc w:val="center"/>
        <w:tblInd w:w="0" w:type="dxa"/>
        <w:tblLayout w:type="fixed"/>
        <w:tblCellMar>
          <w:top w:w="15" w:type="dxa"/>
          <w:left w:w="15" w:type="dxa"/>
          <w:bottom w:w="15" w:type="dxa"/>
          <w:right w:w="15" w:type="dxa"/>
        </w:tblCellMar>
      </w:tblPr>
      <w:tblGrid>
        <w:gridCol w:w="630"/>
        <w:gridCol w:w="1222"/>
        <w:gridCol w:w="1308"/>
        <w:gridCol w:w="6878"/>
        <w:gridCol w:w="1950"/>
        <w:gridCol w:w="2100"/>
      </w:tblGrid>
      <w:tr>
        <w:tblPrEx>
          <w:tblLayout w:type="fixed"/>
          <w:tblCellMar>
            <w:top w:w="15" w:type="dxa"/>
            <w:left w:w="15" w:type="dxa"/>
            <w:bottom w:w="15" w:type="dxa"/>
            <w:right w:w="15" w:type="dxa"/>
          </w:tblCellMar>
        </w:tblPrEx>
        <w:trPr>
          <w:trHeight w:val="600" w:hRule="atLeast"/>
          <w:jc w:val="center"/>
        </w:trPr>
        <w:tc>
          <w:tcPr>
            <w:tcW w:w="14088" w:type="dxa"/>
            <w:gridSpan w:val="6"/>
            <w:noWrap w:val="0"/>
            <w:vAlign w:val="bottom"/>
          </w:tcPr>
          <w:p>
            <w:pPr>
              <w:widowControl/>
              <w:jc w:val="center"/>
              <w:textAlignment w:val="bottom"/>
              <w:rPr>
                <w:rFonts w:hint="eastAsia" w:ascii="方正黑体简体" w:hAnsi="宋体" w:eastAsia="方正黑体简体" w:cs="宋体"/>
                <w:color w:val="000000"/>
                <w:sz w:val="40"/>
                <w:szCs w:val="40"/>
              </w:rPr>
            </w:pPr>
            <w:r>
              <w:rPr>
                <w:rFonts w:hint="eastAsia" w:ascii="方正黑体简体" w:hAnsi="宋体" w:eastAsia="方正黑体简体" w:cs="宋体"/>
                <w:color w:val="000000"/>
                <w:kern w:val="0"/>
                <w:sz w:val="40"/>
                <w:szCs w:val="40"/>
                <w:lang w:bidi="ar"/>
              </w:rPr>
              <w:t>重点任务分工方案</w:t>
            </w:r>
          </w:p>
        </w:tc>
      </w:tr>
      <w:tr>
        <w:tblPrEx>
          <w:tblLayout w:type="fixed"/>
          <w:tblCellMar>
            <w:top w:w="15" w:type="dxa"/>
            <w:left w:w="15" w:type="dxa"/>
            <w:bottom w:w="15" w:type="dxa"/>
            <w:right w:w="15" w:type="dxa"/>
          </w:tblCellMar>
        </w:tblPrEx>
        <w:trPr>
          <w:trHeight w:val="60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12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重点任务</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工作内容</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具体措施</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牵头单位</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配合单位</w:t>
            </w:r>
          </w:p>
        </w:tc>
      </w:tr>
      <w:tr>
        <w:tblPrEx>
          <w:tblLayout w:type="fixed"/>
          <w:tblCellMar>
            <w:top w:w="15" w:type="dxa"/>
            <w:left w:w="15" w:type="dxa"/>
            <w:bottom w:w="15" w:type="dxa"/>
            <w:right w:w="15" w:type="dxa"/>
          </w:tblCellMar>
        </w:tblPrEx>
        <w:trPr>
          <w:trHeight w:val="915"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加快提升铁路运能，大力推动“公转铁”</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着力提升干线铁路运能</w:t>
            </w:r>
          </w:p>
        </w:tc>
        <w:tc>
          <w:tcPr>
            <w:tcW w:w="6878" w:type="dxa"/>
            <w:tcBorders>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加快实施《抚顺市交通运输发展“十三五”规划》</w:t>
            </w:r>
          </w:p>
        </w:tc>
        <w:tc>
          <w:tcPr>
            <w:tcW w:w="1950" w:type="dxa"/>
            <w:tcBorders>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市交通运输局，各县区政府</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市发改委、市财政局、市自然资源局等有关单位</w:t>
            </w:r>
          </w:p>
        </w:tc>
      </w:tr>
      <w:tr>
        <w:tblPrEx>
          <w:tblLayout w:type="fixed"/>
          <w:tblCellMar>
            <w:top w:w="15" w:type="dxa"/>
            <w:left w:w="15" w:type="dxa"/>
            <w:bottom w:w="15" w:type="dxa"/>
            <w:right w:w="15" w:type="dxa"/>
          </w:tblCellMar>
        </w:tblPrEx>
        <w:trPr>
          <w:trHeight w:val="930"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推进沈阳至白河客运专线项目前期工作和城市铁路道口平改立工作，提升路网运输能力</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市住建局、市发改委</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市自然资源局、市交通运输局等有关单位，相关县区政府</w:t>
            </w:r>
          </w:p>
        </w:tc>
      </w:tr>
      <w:tr>
        <w:tblPrEx>
          <w:tblLayout w:type="fixed"/>
          <w:tblCellMar>
            <w:top w:w="15" w:type="dxa"/>
            <w:left w:w="15" w:type="dxa"/>
            <w:bottom w:w="15" w:type="dxa"/>
            <w:right w:w="15" w:type="dxa"/>
          </w:tblCellMar>
        </w:tblPrEx>
        <w:trPr>
          <w:trHeight w:val="1247"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加快铁路专用线建设</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到2020年，全市大宗货物年货运量150万吨以上的大型工矿企业和新建物流园区，原则上全部修建铁路专用线；具有铁路专用线的大型工矿企业和新建物流园区，大宗货物铁路运输比例2019年达到70%以上，2020年达到80%以上。</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市发改委、市自然资源局、市生态环境局等有关单位</w:t>
            </w:r>
          </w:p>
        </w:tc>
      </w:tr>
      <w:tr>
        <w:tblPrEx>
          <w:tblLayout w:type="fixed"/>
          <w:tblCellMar>
            <w:top w:w="15" w:type="dxa"/>
            <w:left w:w="15" w:type="dxa"/>
            <w:bottom w:w="15" w:type="dxa"/>
            <w:right w:w="15" w:type="dxa"/>
          </w:tblCellMar>
        </w:tblPrEx>
        <w:trPr>
          <w:trHeight w:val="1624"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1222" w:type="dxa"/>
            <w:vMerge w:val="restart"/>
            <w:tcBorders>
              <w:top w:val="single" w:color="000000" w:sz="4" w:space="0"/>
              <w:left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强化公路货运治理，推动行业转型升级</w:t>
            </w:r>
          </w:p>
        </w:tc>
        <w:tc>
          <w:tcPr>
            <w:tcW w:w="1308"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治理公路货运超限超载</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严格落实超限超载联合执法常态化、制度化，强化货物装载源头联合执法、路面联合执法和非现场监管执法，依法严厉打击货运车辆非法改装、非法装载和违法超限超载行为。加强科技治超与信用治超，大力推行公路治超</w:t>
            </w:r>
            <w:r>
              <w:rPr>
                <w:rStyle w:val="7"/>
                <w:rFonts w:hint="default"/>
                <w:sz w:val="21"/>
                <w:szCs w:val="21"/>
                <w:lang w:bidi="ar"/>
              </w:rPr>
              <w:t>“黑名单”制度和“一超四罚”制度，对严重违法超限超载运输行为实施联合惩戒。</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各县区政府，市交通运输局、市公安局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市工信局、市市场监管局等有关单位</w:t>
            </w:r>
          </w:p>
        </w:tc>
      </w:tr>
      <w:tr>
        <w:tblPrEx>
          <w:tblLayout w:type="fixed"/>
          <w:tblCellMar>
            <w:top w:w="15" w:type="dxa"/>
            <w:left w:w="15" w:type="dxa"/>
            <w:bottom w:w="15" w:type="dxa"/>
            <w:right w:w="15" w:type="dxa"/>
          </w:tblCellMar>
        </w:tblPrEx>
        <w:trPr>
          <w:trHeight w:val="749"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w:t>
            </w:r>
          </w:p>
        </w:tc>
        <w:tc>
          <w:tcPr>
            <w:tcW w:w="1222"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进一步优化干线普通公路超限检测站点布局，适度增加固定检测站数量。加快推进实施农村公路限宽限高保护设施建设。</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各有关单位</w:t>
            </w:r>
          </w:p>
        </w:tc>
      </w:tr>
      <w:tr>
        <w:tblPrEx>
          <w:tblLayout w:type="fixed"/>
          <w:tblCellMar>
            <w:top w:w="15" w:type="dxa"/>
            <w:left w:w="15" w:type="dxa"/>
            <w:bottom w:w="15" w:type="dxa"/>
            <w:right w:w="15" w:type="dxa"/>
          </w:tblCellMar>
        </w:tblPrEx>
        <w:trPr>
          <w:trHeight w:val="751"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6</w:t>
            </w:r>
          </w:p>
        </w:tc>
        <w:tc>
          <w:tcPr>
            <w:tcW w:w="1222"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大力推进货运车型标准化</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巩固车辆运输车治理工作成果，稳步开展危险货物运输罐车、超长平板半挂车、超长集装箱半挂车治理工作。</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市工信局、市公安局、市市场监管局、市生态环境局等有关单位</w:t>
            </w:r>
          </w:p>
        </w:tc>
      </w:tr>
      <w:tr>
        <w:tblPrEx>
          <w:tblLayout w:type="fixed"/>
          <w:tblCellMar>
            <w:top w:w="15" w:type="dxa"/>
            <w:left w:w="15" w:type="dxa"/>
            <w:bottom w:w="15" w:type="dxa"/>
            <w:right w:w="15" w:type="dxa"/>
          </w:tblCellMar>
        </w:tblPrEx>
        <w:trPr>
          <w:trHeight w:val="697"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序号</w:t>
            </w:r>
          </w:p>
        </w:tc>
        <w:tc>
          <w:tcPr>
            <w:tcW w:w="12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b/>
                <w:color w:val="000000"/>
                <w:kern w:val="0"/>
                <w:sz w:val="21"/>
                <w:szCs w:val="21"/>
                <w:lang w:bidi="ar"/>
              </w:rPr>
              <w:t>重点任务</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b/>
                <w:color w:val="000000"/>
                <w:kern w:val="0"/>
                <w:sz w:val="21"/>
                <w:szCs w:val="21"/>
                <w:lang w:bidi="ar"/>
              </w:rPr>
              <w:t>工作内容</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具体措施</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牵头单位</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配合单位</w:t>
            </w:r>
          </w:p>
        </w:tc>
      </w:tr>
      <w:tr>
        <w:tblPrEx>
          <w:tblLayout w:type="fixed"/>
          <w:tblCellMar>
            <w:top w:w="15" w:type="dxa"/>
            <w:left w:w="15" w:type="dxa"/>
            <w:bottom w:w="15" w:type="dxa"/>
            <w:right w:w="15" w:type="dxa"/>
          </w:tblCellMar>
        </w:tblPrEx>
        <w:trPr>
          <w:trHeight w:val="1291"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7</w:t>
            </w:r>
          </w:p>
        </w:tc>
        <w:tc>
          <w:tcPr>
            <w:tcW w:w="122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强化公路货运治理，推动行业转型升级</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大力推进货运车型标准化</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开展既有营运车辆排查，建立不合规车辆数据库。制定车辆退出计划，强化执法监管，引导督促企业加快国三及以下排放标准营运柴油货车淘汰更新，促进标准化车型更新替代。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各县区政府，市交通运输局、市生态环境局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市工信局、市公安局、市市场监管局等有关单位</w:t>
            </w:r>
          </w:p>
        </w:tc>
      </w:tr>
      <w:tr>
        <w:tblPrEx>
          <w:tblLayout w:type="fixed"/>
          <w:tblCellMar>
            <w:top w:w="15" w:type="dxa"/>
            <w:left w:w="15" w:type="dxa"/>
            <w:bottom w:w="15" w:type="dxa"/>
            <w:right w:w="15" w:type="dxa"/>
          </w:tblCellMar>
        </w:tblPrEx>
        <w:trPr>
          <w:trHeight w:val="1966"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8</w:t>
            </w:r>
          </w:p>
        </w:tc>
        <w:tc>
          <w:tcPr>
            <w:tcW w:w="1222" w:type="dxa"/>
            <w:vMerge w:val="continue"/>
            <w:tcBorders>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加快道路货运集约高效发展</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支持引导道路货运企业创新运输组织方式，推广网络化、联盟化、干支衔接等甩挂运输模式发展。深入推进无车承运人试点工作，加强运行监测，鼓励创新运营管理模式，积极培育无车承运人品牌企业，促进</w:t>
            </w:r>
            <w:r>
              <w:rPr>
                <w:rStyle w:val="7"/>
                <w:rFonts w:hint="default"/>
                <w:sz w:val="21"/>
                <w:szCs w:val="21"/>
                <w:lang w:bidi="ar"/>
              </w:rPr>
              <w:t>“互联网+货运物流”新业态、新模式发展。支持大型道路货运企业以资产为纽带，通过兼并重组、收购控股、加盟连锁等方式，加快向现代物流企业转型升级。</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市交通运输局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各有关单位</w:t>
            </w:r>
          </w:p>
        </w:tc>
      </w:tr>
      <w:tr>
        <w:tblPrEx>
          <w:tblLayout w:type="fixed"/>
          <w:tblCellMar>
            <w:top w:w="15" w:type="dxa"/>
            <w:left w:w="15" w:type="dxa"/>
            <w:bottom w:w="15" w:type="dxa"/>
            <w:right w:w="15" w:type="dxa"/>
          </w:tblCellMar>
        </w:tblPrEx>
        <w:trPr>
          <w:trHeight w:val="1200"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w:t>
            </w:r>
          </w:p>
        </w:tc>
        <w:tc>
          <w:tcPr>
            <w:tcW w:w="122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加快多式联运发展，畅通物流组织体系</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加快联运枢纽建设和装备升级</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大力推广集装化运输，支持企业加快多式联运运载单元、快速转运设备、专用载运机具等升级改造，提升接驳、转运效率。加强集装箱配套技术标准研究，促进集装化、厢式化、标准化装备应用。</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市交通运输局、市发改委</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市邮政管理局等有关单位，各县区政府</w:t>
            </w:r>
          </w:p>
        </w:tc>
      </w:tr>
      <w:tr>
        <w:tblPrEx>
          <w:tblLayout w:type="fixed"/>
          <w:tblCellMar>
            <w:top w:w="15" w:type="dxa"/>
            <w:left w:w="15" w:type="dxa"/>
            <w:bottom w:w="15" w:type="dxa"/>
            <w:right w:w="15" w:type="dxa"/>
          </w:tblCellMar>
        </w:tblPrEx>
        <w:trPr>
          <w:trHeight w:val="1336"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w:t>
            </w:r>
          </w:p>
        </w:tc>
        <w:tc>
          <w:tcPr>
            <w:tcW w:w="1222"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深入实施多式联运示范工程</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积极培育多式联运经营人，支持有实力的运输企业向多式联运经营人转变。鼓励骨 干龙头企业在多式联运单证统一、数据信息交换共享等方面 先行先试，充分发挥引领示范作用。</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市交通运输局、市发改委</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市邮政管理局等有关单位，各县区政府</w:t>
            </w:r>
          </w:p>
        </w:tc>
      </w:tr>
      <w:tr>
        <w:tblPrEx>
          <w:tblLayout w:type="fixed"/>
          <w:tblCellMar>
            <w:top w:w="15" w:type="dxa"/>
            <w:left w:w="15" w:type="dxa"/>
            <w:bottom w:w="15" w:type="dxa"/>
            <w:right w:w="15" w:type="dxa"/>
          </w:tblCellMar>
        </w:tblPrEx>
        <w:trPr>
          <w:trHeight w:val="1322"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11</w:t>
            </w:r>
          </w:p>
        </w:tc>
        <w:tc>
          <w:tcPr>
            <w:tcW w:w="12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促进城市绿色配送，提升绿色发展水平</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建设绿色货运配送体系</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整合存量、优化增量，加快构建一级物流分拨、二级共同配送、三级末端公共取送的三级城市配送网络布局。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各县区政府，市商务局、市交通运输局、市公安局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市发改委、市自然资源局、市邮政管理局等有关单位</w:t>
            </w:r>
          </w:p>
        </w:tc>
      </w:tr>
      <w:tr>
        <w:tblPrEx>
          <w:tblLayout w:type="fixed"/>
          <w:tblCellMar>
            <w:top w:w="15" w:type="dxa"/>
            <w:left w:w="15" w:type="dxa"/>
            <w:bottom w:w="15" w:type="dxa"/>
            <w:right w:w="15" w:type="dxa"/>
          </w:tblCellMar>
        </w:tblPrEx>
        <w:trPr>
          <w:trHeight w:val="668"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序号</w:t>
            </w:r>
          </w:p>
        </w:tc>
        <w:tc>
          <w:tcPr>
            <w:tcW w:w="12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b/>
                <w:color w:val="000000"/>
                <w:kern w:val="0"/>
                <w:sz w:val="21"/>
                <w:szCs w:val="21"/>
                <w:lang w:bidi="ar"/>
              </w:rPr>
              <w:t>重点任务</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b/>
                <w:color w:val="000000"/>
                <w:kern w:val="0"/>
                <w:sz w:val="21"/>
                <w:szCs w:val="21"/>
                <w:lang w:bidi="ar"/>
              </w:rPr>
              <w:t>工作内容</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具体措施</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牵头单位</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配合单位</w:t>
            </w:r>
          </w:p>
        </w:tc>
      </w:tr>
      <w:tr>
        <w:tblPrEx>
          <w:tblLayout w:type="fixed"/>
          <w:tblCellMar>
            <w:top w:w="15" w:type="dxa"/>
            <w:left w:w="15" w:type="dxa"/>
            <w:bottom w:w="15" w:type="dxa"/>
            <w:right w:w="15" w:type="dxa"/>
          </w:tblCellMar>
        </w:tblPrEx>
        <w:trPr>
          <w:trHeight w:val="1291"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12</w:t>
            </w:r>
          </w:p>
        </w:tc>
        <w:tc>
          <w:tcPr>
            <w:tcW w:w="122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促进城市绿色配送，提升绿色发展水平</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建设绿色货运配送体系</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加强干支衔接型物流园区（货运枢纽）和城市配送网络节点及配送车辆停靠装卸配套设施建设，完善城市配送基础设施。</w:t>
            </w:r>
            <w:r>
              <w:rPr>
                <w:rStyle w:val="7"/>
                <w:rFonts w:hint="default"/>
                <w:sz w:val="21"/>
                <w:szCs w:val="21"/>
                <w:lang w:bidi="ar"/>
              </w:rPr>
              <w:t>创新推广集约化运输组织模式，促进城市配送企业从“多、散、弱”向“专、精、强”转型。</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各县区政府，市交通运输局、市商务局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市发改委、市公安局、市自然资源局、市邮政管理局等有关单位</w:t>
            </w:r>
          </w:p>
        </w:tc>
      </w:tr>
      <w:tr>
        <w:tblPrEx>
          <w:tblLayout w:type="fixed"/>
          <w:tblCellMar>
            <w:top w:w="15" w:type="dxa"/>
            <w:left w:w="15" w:type="dxa"/>
            <w:bottom w:w="15" w:type="dxa"/>
            <w:right w:w="15" w:type="dxa"/>
          </w:tblCellMar>
        </w:tblPrEx>
        <w:trPr>
          <w:trHeight w:val="1881"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13</w:t>
            </w:r>
          </w:p>
        </w:tc>
        <w:tc>
          <w:tcPr>
            <w:tcW w:w="1222"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提高城市配送绿色保障</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推广托盘等标准化器具的循环利用，鼓励使用环保循环包装材料。加快新能源和清洁能源车辆推广应用，优化城市配送车辆结构，制定营运柴油货车和燃气车辆淘汰更新目标及实施计划，推广使用达到国六排放标准的燃气车辆。</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各县区政府，市交通运输局、市商务局、市工信局、市公安局、市生态环境局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市发改委、市财政局、市邮政管理局等有关单位</w:t>
            </w:r>
          </w:p>
        </w:tc>
      </w:tr>
      <w:tr>
        <w:tblPrEx>
          <w:tblLayout w:type="fixed"/>
          <w:tblCellMar>
            <w:top w:w="15" w:type="dxa"/>
            <w:left w:w="15" w:type="dxa"/>
            <w:bottom w:w="15" w:type="dxa"/>
            <w:right w:w="15" w:type="dxa"/>
          </w:tblCellMar>
        </w:tblPrEx>
        <w:trPr>
          <w:trHeight w:val="81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14</w:t>
            </w:r>
          </w:p>
        </w:tc>
        <w:tc>
          <w:tcPr>
            <w:tcW w:w="1222"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将加气站、充电站、公共充电桩建设纳入城市基础设施规划建设范围，加大用地、资金等支持力度。</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各县区政府，市交通运输局、市自然资源局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市财政局、市发改委等有关单位</w:t>
            </w:r>
          </w:p>
        </w:tc>
      </w:tr>
      <w:tr>
        <w:tblPrEx>
          <w:tblLayout w:type="fixed"/>
          <w:tblCellMar>
            <w:top w:w="15" w:type="dxa"/>
            <w:left w:w="15" w:type="dxa"/>
            <w:bottom w:w="15" w:type="dxa"/>
            <w:right w:w="15" w:type="dxa"/>
          </w:tblCellMar>
        </w:tblPrEx>
        <w:trPr>
          <w:trHeight w:val="11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15</w:t>
            </w:r>
          </w:p>
        </w:tc>
        <w:tc>
          <w:tcPr>
            <w:tcW w:w="1222" w:type="dxa"/>
            <w:vMerge w:val="continue"/>
            <w:tcBorders>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p>
        </w:tc>
        <w:tc>
          <w:tcPr>
            <w:tcW w:w="1308" w:type="dxa"/>
            <w:vMerge w:val="continue"/>
            <w:tcBorders>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制定出台新能源城市配送车辆便利通行政策，改善车辆通行条件。</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各县区政府，市公安局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市商务局、市交通运输局、市自然资源局、市邮政管理局等有关单位</w:t>
            </w:r>
          </w:p>
        </w:tc>
      </w:tr>
      <w:tr>
        <w:tblPrEx>
          <w:tblLayout w:type="fixed"/>
          <w:tblCellMar>
            <w:top w:w="15" w:type="dxa"/>
            <w:left w:w="15" w:type="dxa"/>
            <w:bottom w:w="15" w:type="dxa"/>
            <w:right w:w="15" w:type="dxa"/>
          </w:tblCellMar>
        </w:tblPrEx>
        <w:trPr>
          <w:trHeight w:val="99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16</w:t>
            </w:r>
          </w:p>
        </w:tc>
        <w:tc>
          <w:tcPr>
            <w:tcW w:w="1222"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构建全市机动车超标排放信息数据库，可追溯生产进口企业、注册登记地、排放检验机构、维修单位、运输企业等。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各县区政府，市生态环境局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市交通运输局、市公安局等有关单位</w:t>
            </w:r>
          </w:p>
        </w:tc>
      </w:tr>
      <w:tr>
        <w:tblPrEx>
          <w:tblLayout w:type="fixed"/>
          <w:tblCellMar>
            <w:top w:w="15" w:type="dxa"/>
            <w:left w:w="15" w:type="dxa"/>
            <w:bottom w:w="15" w:type="dxa"/>
            <w:right w:w="15" w:type="dxa"/>
          </w:tblCellMar>
        </w:tblPrEx>
        <w:trPr>
          <w:trHeight w:val="1419" w:hRule="atLeast"/>
          <w:jc w:val="center"/>
        </w:trPr>
        <w:tc>
          <w:tcPr>
            <w:tcW w:w="63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17</w:t>
            </w:r>
          </w:p>
        </w:tc>
        <w:tc>
          <w:tcPr>
            <w:tcW w:w="1222" w:type="dxa"/>
            <w:vMerge w:val="continue"/>
            <w:tcBorders>
              <w:left w:val="single" w:color="000000" w:sz="4" w:space="0"/>
              <w:bottom w:val="single" w:color="auto"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推进城市生产生活物资公铁联运</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鼓励铁路运输企业加强与连锁超市、第三方物流企业、零担干线运输企业等合作，引导城市生产生活物资、商品汽车等中长距离公路运输有序向铁路转移。</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各县区政府，市商务局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市交通运输局等有关单位</w:t>
            </w:r>
          </w:p>
        </w:tc>
      </w:tr>
      <w:tr>
        <w:tblPrEx>
          <w:tblLayout w:type="fixed"/>
          <w:tblCellMar>
            <w:top w:w="15" w:type="dxa"/>
            <w:left w:w="15" w:type="dxa"/>
            <w:bottom w:w="15" w:type="dxa"/>
            <w:right w:w="15" w:type="dxa"/>
          </w:tblCellMar>
        </w:tblPrEx>
        <w:trPr>
          <w:trHeight w:val="686" w:hRule="atLeast"/>
          <w:jc w:val="center"/>
        </w:trPr>
        <w:tc>
          <w:tcPr>
            <w:tcW w:w="63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序号</w:t>
            </w:r>
          </w:p>
        </w:tc>
        <w:tc>
          <w:tcPr>
            <w:tcW w:w="1222"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重点任务</w:t>
            </w:r>
          </w:p>
        </w:tc>
        <w:tc>
          <w:tcPr>
            <w:tcW w:w="1308"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工作内容</w:t>
            </w:r>
          </w:p>
        </w:tc>
        <w:tc>
          <w:tcPr>
            <w:tcW w:w="6878"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具体措施</w:t>
            </w:r>
          </w:p>
        </w:tc>
        <w:tc>
          <w:tcPr>
            <w:tcW w:w="1950" w:type="dxa"/>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牵头单位</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配合单位</w:t>
            </w:r>
          </w:p>
        </w:tc>
      </w:tr>
      <w:tr>
        <w:tblPrEx>
          <w:tblLayout w:type="fixed"/>
          <w:tblCellMar>
            <w:top w:w="15" w:type="dxa"/>
            <w:left w:w="15" w:type="dxa"/>
            <w:bottom w:w="15" w:type="dxa"/>
            <w:right w:w="15" w:type="dxa"/>
          </w:tblCellMar>
        </w:tblPrEx>
        <w:trPr>
          <w:trHeight w:val="1421" w:hRule="atLeast"/>
          <w:jc w:val="center"/>
        </w:trPr>
        <w:tc>
          <w:tcPr>
            <w:tcW w:w="63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18</w:t>
            </w:r>
          </w:p>
        </w:tc>
        <w:tc>
          <w:tcPr>
            <w:tcW w:w="1222" w:type="dxa"/>
            <w:vMerge w:val="restart"/>
            <w:tcBorders>
              <w:top w:val="single" w:color="auto"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加快信息资源整合，促进数据要素流通</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加强公共信息交换共享</w:t>
            </w:r>
          </w:p>
        </w:tc>
        <w:tc>
          <w:tcPr>
            <w:tcW w:w="6878" w:type="dxa"/>
            <w:tcBorders>
              <w:top w:val="single" w:color="000000" w:sz="4" w:space="0"/>
              <w:left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加强跨行业、跨区域等信息资源整合，引导多方信息平台集聚化发展，提高信息资源利用效率。</w:t>
            </w:r>
            <w:r>
              <w:rPr>
                <w:rStyle w:val="7"/>
                <w:rFonts w:hint="default"/>
                <w:sz w:val="21"/>
                <w:szCs w:val="21"/>
                <w:lang w:bidi="ar"/>
              </w:rPr>
              <w:t>建立信息共享、交换机制，实现政务服务“一网通办”。</w:t>
            </w:r>
          </w:p>
        </w:tc>
        <w:tc>
          <w:tcPr>
            <w:tcW w:w="1950" w:type="dxa"/>
            <w:tcBorders>
              <w:top w:val="single" w:color="000000" w:sz="4" w:space="0"/>
              <w:left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市发改委、市市场监管局、市邮政管理局等有关单位</w:t>
            </w:r>
          </w:p>
        </w:tc>
      </w:tr>
      <w:tr>
        <w:tblPrEx>
          <w:tblLayout w:type="fixed"/>
          <w:tblCellMar>
            <w:top w:w="15" w:type="dxa"/>
            <w:left w:w="15" w:type="dxa"/>
            <w:bottom w:w="15" w:type="dxa"/>
            <w:right w:w="15" w:type="dxa"/>
          </w:tblCellMar>
        </w:tblPrEx>
        <w:trPr>
          <w:trHeight w:val="1384"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19</w:t>
            </w:r>
          </w:p>
        </w:tc>
        <w:tc>
          <w:tcPr>
            <w:tcW w:w="1222"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加强信息报送和监测分析</w:t>
            </w:r>
          </w:p>
        </w:tc>
        <w:tc>
          <w:tcPr>
            <w:tcW w:w="6878" w:type="dxa"/>
            <w:tcBorders>
              <w:top w:val="single" w:color="000000" w:sz="4" w:space="0"/>
              <w:left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完善运输结构调整指标体系，全面反映运输结构调整成果。</w:t>
            </w:r>
            <w:r>
              <w:rPr>
                <w:rStyle w:val="7"/>
                <w:rFonts w:hint="default"/>
                <w:sz w:val="21"/>
                <w:szCs w:val="21"/>
                <w:lang w:bidi="ar"/>
              </w:rPr>
              <w:t>研究探索相关分析方法，加强货物运输“公转铁”运行动态、多式联运发展状态、新能源车辆推广应用等信息运行监测。及时、准确完成各项指标填报，不断提高运输结构调整工作质量。</w:t>
            </w:r>
          </w:p>
        </w:tc>
        <w:tc>
          <w:tcPr>
            <w:tcW w:w="1950" w:type="dxa"/>
            <w:tcBorders>
              <w:top w:val="single" w:color="000000" w:sz="4" w:space="0"/>
              <w:left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市工信局、市生态环境局、市商务局、市邮政管理局等有关单位</w:t>
            </w:r>
          </w:p>
        </w:tc>
      </w:tr>
      <w:tr>
        <w:tblPrEx>
          <w:tblLayout w:type="fixed"/>
          <w:tblCellMar>
            <w:top w:w="15" w:type="dxa"/>
            <w:left w:w="15" w:type="dxa"/>
            <w:bottom w:w="15" w:type="dxa"/>
            <w:right w:w="15" w:type="dxa"/>
          </w:tblCellMar>
        </w:tblPrEx>
        <w:trPr>
          <w:trHeight w:val="855"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w:t>
            </w:r>
          </w:p>
        </w:tc>
        <w:tc>
          <w:tcPr>
            <w:tcW w:w="122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加大政策保障力度</w:t>
            </w:r>
          </w:p>
        </w:tc>
        <w:tc>
          <w:tcPr>
            <w:tcW w:w="1308"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加大资金等政策支持力度</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积极争取国家车购税、中央基建投资、燃油税返还等资金支持，对公路集疏运、多式联运枢纽（物流园区）等基础设施建设给予支持。</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市交通运输局、市财政局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各有关单位</w:t>
            </w:r>
          </w:p>
        </w:tc>
      </w:tr>
      <w:tr>
        <w:tblPrEx>
          <w:tblLayout w:type="fixed"/>
          <w:tblCellMar>
            <w:top w:w="15" w:type="dxa"/>
            <w:left w:w="15" w:type="dxa"/>
            <w:bottom w:w="15" w:type="dxa"/>
            <w:right w:w="15" w:type="dxa"/>
          </w:tblCellMar>
        </w:tblPrEx>
        <w:trPr>
          <w:trHeight w:val="855"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21</w:t>
            </w:r>
          </w:p>
        </w:tc>
        <w:tc>
          <w:tcPr>
            <w:tcW w:w="1222"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严格执行国家对老旧车辆淘汰、新能源车推广应用等经济补偿政策规定。</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各县区政府，市财政局、市生态环境局、市交通运输局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各有关单位</w:t>
            </w:r>
          </w:p>
        </w:tc>
      </w:tr>
      <w:tr>
        <w:tblPrEx>
          <w:tblLayout w:type="fixed"/>
          <w:tblCellMar>
            <w:top w:w="15" w:type="dxa"/>
            <w:left w:w="15" w:type="dxa"/>
            <w:bottom w:w="15" w:type="dxa"/>
            <w:right w:w="15" w:type="dxa"/>
          </w:tblCellMar>
        </w:tblPrEx>
        <w:trPr>
          <w:trHeight w:val="696"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22</w:t>
            </w:r>
          </w:p>
        </w:tc>
        <w:tc>
          <w:tcPr>
            <w:tcW w:w="1222" w:type="dxa"/>
            <w:vMerge w:val="continue"/>
            <w:tcBorders>
              <w:left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鼓励对运输结构调整工作成效显著的工矿企业，在分解错峰生产任务时适当减少限产比例。</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市生态环境局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市工信局等有关单位</w:t>
            </w:r>
          </w:p>
        </w:tc>
      </w:tr>
      <w:tr>
        <w:tblPrEx>
          <w:tblLayout w:type="fixed"/>
          <w:tblCellMar>
            <w:top w:w="15" w:type="dxa"/>
            <w:left w:w="15" w:type="dxa"/>
            <w:bottom w:w="15" w:type="dxa"/>
            <w:right w:w="15" w:type="dxa"/>
          </w:tblCellMar>
        </w:tblPrEx>
        <w:trPr>
          <w:trHeight w:val="2060" w:hRule="atLeast"/>
          <w:jc w:val="center"/>
        </w:trPr>
        <w:tc>
          <w:tcPr>
            <w:tcW w:w="630" w:type="dxa"/>
            <w:tcBorders>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23</w:t>
            </w:r>
          </w:p>
        </w:tc>
        <w:tc>
          <w:tcPr>
            <w:tcW w:w="1222" w:type="dxa"/>
            <w:vMerge w:val="continue"/>
            <w:tcBorders>
              <w:left w:val="single" w:color="000000" w:sz="4" w:space="0"/>
              <w:bottom w:val="single" w:color="auto"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落实用地支持政策</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大铁路专用线用地支持力度，将列入国家运输结构调整行动计划的铁路专用线项目（不含物流园区），纳入占用永久基本农田的重大建设项目用地预审受理范围，按照相关规定办理用地手续。在国土空间规划指导下组织编制物流园区和工矿企业铁路专用线建设方案，保障用地指标。对急需开工的国家重点铁路专用线控制性工程，按照相关规定向自然资源部申请办理先行用地手续。</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各县区政府，市自然资源局、市交通运输局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各有关单位</w:t>
            </w:r>
          </w:p>
        </w:tc>
      </w:tr>
      <w:tr>
        <w:tblPrEx>
          <w:tblLayout w:type="fixed"/>
          <w:tblCellMar>
            <w:top w:w="15" w:type="dxa"/>
            <w:left w:w="15" w:type="dxa"/>
            <w:bottom w:w="15" w:type="dxa"/>
            <w:right w:w="15" w:type="dxa"/>
          </w:tblCellMar>
        </w:tblPrEx>
        <w:trPr>
          <w:trHeight w:val="651" w:hRule="atLeast"/>
          <w:jc w:val="center"/>
        </w:trPr>
        <w:tc>
          <w:tcPr>
            <w:tcW w:w="630" w:type="dxa"/>
            <w:tcBorders>
              <w:top w:val="single" w:color="auto" w:sz="4" w:space="0"/>
              <w:left w:val="single" w:color="auto" w:sz="4" w:space="0"/>
              <w:bottom w:val="single" w:color="auto"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序号</w:t>
            </w:r>
          </w:p>
        </w:tc>
        <w:tc>
          <w:tcPr>
            <w:tcW w:w="1222"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重点任务</w:t>
            </w:r>
          </w:p>
        </w:tc>
        <w:tc>
          <w:tcPr>
            <w:tcW w:w="1308"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工作内容</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具体措施</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牵头单位</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b/>
                <w:color w:val="000000"/>
                <w:kern w:val="0"/>
                <w:sz w:val="21"/>
                <w:szCs w:val="21"/>
                <w:lang w:bidi="ar"/>
              </w:rPr>
              <w:t>配合单位</w:t>
            </w:r>
          </w:p>
        </w:tc>
      </w:tr>
      <w:tr>
        <w:tblPrEx>
          <w:tblLayout w:type="fixed"/>
          <w:tblCellMar>
            <w:top w:w="15" w:type="dxa"/>
            <w:left w:w="15" w:type="dxa"/>
            <w:bottom w:w="15" w:type="dxa"/>
            <w:right w:w="15" w:type="dxa"/>
          </w:tblCellMar>
        </w:tblPrEx>
        <w:trPr>
          <w:trHeight w:val="1426" w:hRule="atLeast"/>
          <w:jc w:val="center"/>
        </w:trPr>
        <w:tc>
          <w:tcPr>
            <w:tcW w:w="630"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24</w:t>
            </w:r>
          </w:p>
        </w:tc>
        <w:tc>
          <w:tcPr>
            <w:tcW w:w="1222" w:type="dxa"/>
            <w:vMerge w:val="restart"/>
            <w:tcBorders>
              <w:top w:val="single" w:color="auto"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加大督导考核力度</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加强组织领导</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要进一步提高政治站位，强化责任担当，紧密结合当地产业结构、能源结构和用地结构，加快组织制定本地区运输结构调整工作实施方案，实行</w:t>
            </w:r>
            <w:r>
              <w:rPr>
                <w:rStyle w:val="7"/>
                <w:rFonts w:hint="default"/>
                <w:sz w:val="21"/>
                <w:szCs w:val="21"/>
                <w:lang w:bidi="ar"/>
              </w:rPr>
              <w:t>“一县一策、一区一策、一企一策”，细化分解目标任务， 制定责任清单、推进线路和时间节点，科学安排工作进度，确保按时保质完成各项任务。</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各县区政府，市交通运输局、市发改委</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各有关单位</w:t>
            </w:r>
          </w:p>
        </w:tc>
      </w:tr>
      <w:tr>
        <w:tblPrEx>
          <w:tblLayout w:type="fixed"/>
          <w:tblCellMar>
            <w:top w:w="15" w:type="dxa"/>
            <w:left w:w="15" w:type="dxa"/>
            <w:bottom w:w="15" w:type="dxa"/>
            <w:right w:w="15" w:type="dxa"/>
          </w:tblCellMar>
        </w:tblPrEx>
        <w:trPr>
          <w:trHeight w:val="1426"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25</w:t>
            </w:r>
          </w:p>
        </w:tc>
        <w:tc>
          <w:tcPr>
            <w:tcW w:w="1222"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强化督导考评</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全面落实各县区政府运输结构调整的主体责任，加强对辖区内重点企业的督导考评，并将结果向社会公布。要建立健全运输结构调整工作的动态评估机制，对运输结构调整工作推进落实不力、实施效果较差的部门和企业，要及时督促整改，确保各项任务举措落实到位。</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各县区政府，市交通运输局、市发改委</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各有关单位</w:t>
            </w:r>
          </w:p>
        </w:tc>
      </w:tr>
      <w:tr>
        <w:tblPrEx>
          <w:tblLayout w:type="fixed"/>
          <w:tblCellMar>
            <w:top w:w="15" w:type="dxa"/>
            <w:left w:w="15" w:type="dxa"/>
            <w:bottom w:w="15" w:type="dxa"/>
            <w:right w:w="15" w:type="dxa"/>
          </w:tblCellMar>
        </w:tblPrEx>
        <w:trPr>
          <w:trHeight w:val="1426"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26</w:t>
            </w:r>
          </w:p>
        </w:tc>
        <w:tc>
          <w:tcPr>
            <w:tcW w:w="122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营造良好发展环境</w:t>
            </w: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保障行业健康稳定发展</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加强部门协同联动，坚持疏堵结合，强化货运市场和重点企业监测。及时掌握行业动态，切实做好运输结构调整推进过程中的风险识别和矛盾化解。加大政策支持力度，完善从业人员社会保障、职业培训等服务。积极培育拓展新兴市场，推动行业创新稳定发展和转型升级。</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各有关单位</w:t>
            </w:r>
          </w:p>
        </w:tc>
      </w:tr>
      <w:tr>
        <w:tblPrEx>
          <w:tblLayout w:type="fixed"/>
          <w:tblCellMar>
            <w:top w:w="15" w:type="dxa"/>
            <w:left w:w="15" w:type="dxa"/>
            <w:bottom w:w="15" w:type="dxa"/>
            <w:right w:w="15" w:type="dxa"/>
          </w:tblCellMar>
        </w:tblPrEx>
        <w:trPr>
          <w:trHeight w:val="1291" w:hRule="atLeast"/>
          <w:jc w:val="center"/>
        </w:trPr>
        <w:tc>
          <w:tcPr>
            <w:tcW w:w="630" w:type="dxa"/>
            <w:tcBorders>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27</w:t>
            </w:r>
          </w:p>
        </w:tc>
        <w:tc>
          <w:tcPr>
            <w:tcW w:w="1222" w:type="dxa"/>
            <w:vMerge w:val="continue"/>
            <w:tcBorders>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color w:val="000000"/>
                <w:sz w:val="21"/>
                <w:szCs w:val="21"/>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做好政策宣传和舆论引导</w:t>
            </w:r>
          </w:p>
        </w:tc>
        <w:tc>
          <w:tcPr>
            <w:tcW w:w="68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认真做好运输结构调整工作的舆论引导，充分运用报刊、电视、网络等平台，做好典型宣传、深度报道，及时回应社会关切。合理引导市场预期，积极争取各方理解和支持，营造良好的舆论环境，切实维护社会和谐稳定大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各县区政府，市交通运输局、市发改委</w:t>
            </w:r>
          </w:p>
        </w:tc>
        <w:tc>
          <w:tcPr>
            <w:tcW w:w="2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各有关单位</w:t>
            </w:r>
          </w:p>
        </w:tc>
      </w:tr>
    </w:tbl>
    <w:p>
      <w:pPr>
        <w:ind w:right="1280" w:rightChars="400"/>
        <w:rPr>
          <w:rFonts w:hint="eastAsia" w:ascii="方正仿宋简体" w:eastAsia="方正仿宋简体"/>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87300"/>
    <w:rsid w:val="436873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link w:val="5"/>
    <w:semiHidden/>
    <w:uiPriority w:val="0"/>
    <w:rPr>
      <w:rFonts w:eastAsia="宋体"/>
      <w:kern w:val="0"/>
      <w:sz w:val="24"/>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 Char"/>
    <w:basedOn w:val="1"/>
    <w:link w:val="4"/>
    <w:uiPriority w:val="0"/>
    <w:pPr>
      <w:adjustRightInd w:val="0"/>
      <w:spacing w:line="360" w:lineRule="auto"/>
    </w:pPr>
    <w:rPr>
      <w:rFonts w:eastAsia="宋体"/>
      <w:kern w:val="0"/>
      <w:sz w:val="24"/>
    </w:rPr>
  </w:style>
  <w:style w:type="character" w:styleId="6">
    <w:name w:val="page number"/>
    <w:basedOn w:val="4"/>
    <w:uiPriority w:val="0"/>
  </w:style>
  <w:style w:type="character" w:customStyle="1" w:styleId="7">
    <w:name w:val="font21"/>
    <w:basedOn w:val="4"/>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2019-08-06T01:58:00Z</dcterms:created>
  <dc:creator>Administrator</dc:creator>
  <cp:lastModifiedBy>Administrator</cp:lastModifiedBy>
  <dcterms:modified xsi:type="dcterms:W3CDTF">2019-08-06T01:58:47Z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