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黑体" w:hAnsi="黑体" w:eastAsia="黑体" w:cs="黑体"/>
          <w:bCs/>
          <w:color w:val="000000"/>
          <w:sz w:val="32"/>
          <w:szCs w:val="32"/>
        </w:rPr>
      </w:pPr>
    </w:p>
    <w:tbl>
      <w:tblPr>
        <w:tblStyle w:val="8"/>
        <w:tblW w:w="92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"/>
        <w:gridCol w:w="400"/>
        <w:gridCol w:w="584"/>
        <w:gridCol w:w="650"/>
        <w:gridCol w:w="428"/>
        <w:gridCol w:w="672"/>
        <w:gridCol w:w="433"/>
        <w:gridCol w:w="567"/>
        <w:gridCol w:w="450"/>
        <w:gridCol w:w="358"/>
        <w:gridCol w:w="358"/>
        <w:gridCol w:w="592"/>
        <w:gridCol w:w="586"/>
        <w:gridCol w:w="175"/>
        <w:gridCol w:w="475"/>
        <w:gridCol w:w="242"/>
        <w:gridCol w:w="307"/>
        <w:gridCol w:w="496"/>
        <w:gridCol w:w="160"/>
        <w:gridCol w:w="393"/>
        <w:gridCol w:w="5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9276" w:type="dxa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sz w:val="44"/>
                <w:szCs w:val="44"/>
              </w:rPr>
              <w:t>市本级预算项目（政策）绩效目标自评表</w:t>
            </w:r>
            <w:r>
              <w:rPr>
                <w:rFonts w:hint="eastAsia" w:ascii="宋体" w:hAnsi="宋体" w:cs="宋体"/>
                <w:sz w:val="44"/>
                <w:szCs w:val="44"/>
              </w:rPr>
              <w:t xml:space="preserve"> </w:t>
            </w:r>
            <w:r>
              <w:rPr>
                <w:rFonts w:hint="eastAsia" w:ascii="宋体" w:hAnsi="宋体" w:cs="宋体"/>
                <w:sz w:val="44"/>
                <w:szCs w:val="4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32"/>
                <w:szCs w:val="32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32"/>
                <w:szCs w:val="32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color w:val="00000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项目（政策）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91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红十字业务费</w:t>
            </w: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主管部门</w:t>
            </w:r>
          </w:p>
        </w:tc>
        <w:tc>
          <w:tcPr>
            <w:tcW w:w="791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抚顺市红十字会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实施单位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抚顺市红十字会</w:t>
            </w: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实施期</w:t>
            </w:r>
          </w:p>
        </w:tc>
        <w:tc>
          <w:tcPr>
            <w:tcW w:w="2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月 -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项目预算资金</w:t>
            </w: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年初</w:t>
            </w:r>
          </w:p>
          <w:p>
            <w:pPr>
              <w:jc w:val="center"/>
            </w:pPr>
            <w:r>
              <w:rPr>
                <w:rFonts w:hint="eastAsia"/>
              </w:rPr>
              <w:t>预算数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全年预算数（</w:t>
            </w:r>
            <w: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全年执行数（</w:t>
            </w:r>
            <w: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执行率（</w:t>
            </w:r>
            <w:r>
              <w:t>B/A)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得分</w:t>
            </w:r>
          </w:p>
          <w:p>
            <w:pPr>
              <w:jc w:val="center"/>
            </w:pPr>
            <w:r>
              <w:rPr>
                <w:rFonts w:hint="eastAsia"/>
              </w:rPr>
              <w:t>（分值</w:t>
            </w:r>
            <w:r>
              <w:t>*B/A</w:t>
            </w:r>
            <w:r>
              <w:rPr>
                <w:rFonts w:hint="eastAsia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年度预算资金总额：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3.2</w:t>
            </w: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3.2</w:t>
            </w: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3.34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104.37%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其中：财政拨款收入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3.2</w:t>
            </w: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3.2</w:t>
            </w: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3.34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104.37%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中央提前告知转移支付资金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纳入预算管理的行政事业性收费等非税收入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纳入政府性基金预算管理收入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纳入专户管理的行政事业性收费等非税收入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上年结转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其他收入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年度总体目标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年初设定目标</w:t>
            </w:r>
          </w:p>
        </w:tc>
        <w:tc>
          <w:tcPr>
            <w:tcW w:w="39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</w:rPr>
              <w:t>目标</w:t>
            </w: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  <w:lang w:eastAsia="zh-CN"/>
              </w:rPr>
              <w:t>：</w:t>
            </w:r>
            <w:r>
              <w:rPr>
                <w:rFonts w:hint="eastAsia"/>
                <w:color w:val="000000"/>
              </w:rPr>
              <w:t>做好应急救护普及推广工作，提高市民自救互救的能力，提高红十字应急救援队伍的专业素质</w:t>
            </w:r>
            <w:r>
              <w:rPr>
                <w:rFonts w:hint="eastAsia"/>
                <w:color w:val="000000"/>
                <w:lang w:eastAsia="zh-CN"/>
              </w:rPr>
              <w:t>。</w:t>
            </w:r>
          </w:p>
        </w:tc>
        <w:tc>
          <w:tcPr>
            <w:tcW w:w="39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完成</w:t>
            </w: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</w:t>
            </w: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  <w:lang w:eastAsia="zh-CN"/>
              </w:rPr>
              <w:t>：</w:t>
            </w:r>
            <w:r>
              <w:rPr>
                <w:rFonts w:hint="eastAsia"/>
                <w:color w:val="000000"/>
              </w:rPr>
              <w:t>传播人道博爱奉献的红十字精神。</w:t>
            </w:r>
          </w:p>
        </w:tc>
        <w:tc>
          <w:tcPr>
            <w:tcW w:w="39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完成</w:t>
            </w:r>
            <w:r>
              <w:rPr>
                <w:rFonts w:hint="eastAsia"/>
                <w:color w:val="000000"/>
              </w:rPr>
              <w:t>　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目标值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完成值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完成程度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分值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得分</w:t>
            </w:r>
          </w:p>
        </w:tc>
        <w:tc>
          <w:tcPr>
            <w:tcW w:w="34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未完成原因分析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（请在相应选项下划“√”并在原因说明中分项阐述）</w:t>
            </w:r>
          </w:p>
        </w:tc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改进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运算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符号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度量单位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硬件条件保障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开展三救工作</w:t>
            </w:r>
          </w:p>
        </w:tc>
        <w:tc>
          <w:tcPr>
            <w:tcW w:w="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≥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545"/>
              </w:tabs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应急救护演练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应急救培训各1次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545"/>
              </w:tabs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次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7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7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开展三献工作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545"/>
              </w:tabs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干细胞志愿者服务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545"/>
              </w:tabs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次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6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6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质量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开展三救工作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救护员合格30人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人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30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7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7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开展三献工作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遗体器官捐献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6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6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开展三救工作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12月底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天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6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6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开展三献工作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12月底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天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6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6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成本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开展业务工作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办公费等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万元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3.34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12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12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效益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开展三救工作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减轻贫困家庭经济负担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4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开展三献工作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减少医疗开支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4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开展三救工作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减少社会矛盾促进社会和谐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开展三献工作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救死扶伤挽救生命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生态效益指标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开展三献工作</w:t>
            </w:r>
          </w:p>
        </w:tc>
        <w:tc>
          <w:tcPr>
            <w:tcW w:w="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遗体器官捐献有利于自然环境的改善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可持续影响指标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开展三救工作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完善社会保障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开展三献工作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促进社会文明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满意度指标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服务对象满意度指标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开展三救工作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被救助对象的满意程度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开展三献工作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被服务对象的满意程度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产出、效益、满意度指标自评得分小计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90</w:t>
            </w:r>
          </w:p>
        </w:tc>
        <w:tc>
          <w:tcPr>
            <w:tcW w:w="2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预算执行率得分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4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绩效自评总得分（</w:t>
            </w:r>
            <w:r>
              <w:rPr>
                <w:color w:val="000000"/>
              </w:rPr>
              <w:t>C+D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47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</w:t>
            </w:r>
          </w:p>
        </w:tc>
      </w:tr>
    </w:tbl>
    <w:p>
      <w:pPr>
        <w:spacing w:line="584" w:lineRule="exact"/>
        <w:jc w:val="both"/>
        <w:rPr>
          <w:rFonts w:ascii="宋体" w:hAnsi="宋体" w:cs="宋体"/>
          <w:b/>
          <w:bCs/>
          <w:color w:val="00000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BhMzRkOWM0MWM1ZGYyODI2MDIzOTRkN2E3ODNjNDEifQ=="/>
  </w:docVars>
  <w:rsids>
    <w:rsidRoot w:val="006A5A68"/>
    <w:rsid w:val="000B40F6"/>
    <w:rsid w:val="003C5963"/>
    <w:rsid w:val="006513BC"/>
    <w:rsid w:val="006A5A68"/>
    <w:rsid w:val="007D3350"/>
    <w:rsid w:val="00825219"/>
    <w:rsid w:val="00D00EFA"/>
    <w:rsid w:val="00D638B2"/>
    <w:rsid w:val="00F044D0"/>
    <w:rsid w:val="044163B3"/>
    <w:rsid w:val="0470325B"/>
    <w:rsid w:val="05C313AC"/>
    <w:rsid w:val="060C24A6"/>
    <w:rsid w:val="06BA2C89"/>
    <w:rsid w:val="070B62FA"/>
    <w:rsid w:val="074A55DF"/>
    <w:rsid w:val="0DF73FBF"/>
    <w:rsid w:val="0F0F3F6F"/>
    <w:rsid w:val="137D2B9A"/>
    <w:rsid w:val="14475632"/>
    <w:rsid w:val="172B1987"/>
    <w:rsid w:val="1B8F3DB2"/>
    <w:rsid w:val="1BE7154D"/>
    <w:rsid w:val="1E4B73C6"/>
    <w:rsid w:val="2301062A"/>
    <w:rsid w:val="266F36FB"/>
    <w:rsid w:val="27886D08"/>
    <w:rsid w:val="288E5EEB"/>
    <w:rsid w:val="2A324CD4"/>
    <w:rsid w:val="2B4C75CA"/>
    <w:rsid w:val="2B5F2E7B"/>
    <w:rsid w:val="2CF46434"/>
    <w:rsid w:val="2D3622E0"/>
    <w:rsid w:val="2E197D6C"/>
    <w:rsid w:val="30BA49F8"/>
    <w:rsid w:val="32D225A9"/>
    <w:rsid w:val="37A11F66"/>
    <w:rsid w:val="383B3E0A"/>
    <w:rsid w:val="38E4149C"/>
    <w:rsid w:val="39307058"/>
    <w:rsid w:val="3A120C52"/>
    <w:rsid w:val="3B2C2002"/>
    <w:rsid w:val="3CB82854"/>
    <w:rsid w:val="3CC560BB"/>
    <w:rsid w:val="422D0A1C"/>
    <w:rsid w:val="47083327"/>
    <w:rsid w:val="492649B0"/>
    <w:rsid w:val="4AD00058"/>
    <w:rsid w:val="55EA3E01"/>
    <w:rsid w:val="571A709B"/>
    <w:rsid w:val="58C00661"/>
    <w:rsid w:val="5909326F"/>
    <w:rsid w:val="5DFB2606"/>
    <w:rsid w:val="62574B59"/>
    <w:rsid w:val="6459367F"/>
    <w:rsid w:val="69BE10D0"/>
    <w:rsid w:val="6B2D5FE1"/>
    <w:rsid w:val="700B7BF8"/>
    <w:rsid w:val="71AA2194"/>
    <w:rsid w:val="773326DD"/>
    <w:rsid w:val="77F12248"/>
    <w:rsid w:val="7D020AEA"/>
    <w:rsid w:val="7E4E5490"/>
    <w:rsid w:val="7F24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6" w:lineRule="auto"/>
      <w:outlineLvl w:val="0"/>
    </w:pPr>
    <w:rPr>
      <w:rFonts w:ascii="等线" w:eastAsia="等线" w:cs="Arial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semiHidden/>
    <w:unhideWhenUsed/>
    <w:qFormat/>
    <w:uiPriority w:val="0"/>
    <w:pPr>
      <w:ind w:firstLine="645"/>
    </w:pPr>
    <w:rPr>
      <w:rFonts w:ascii="仿宋_GB2312" w:eastAsia="仿宋_GB2312"/>
      <w:sz w:val="32"/>
      <w:szCs w:val="32"/>
    </w:rPr>
  </w:style>
  <w:style w:type="paragraph" w:styleId="4">
    <w:name w:val="Balloon Text"/>
    <w:basedOn w:val="1"/>
    <w:link w:val="15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2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annotation reference"/>
    <w:basedOn w:val="9"/>
    <w:semiHidden/>
    <w:unhideWhenUsed/>
    <w:qFormat/>
    <w:uiPriority w:val="0"/>
    <w:rPr>
      <w:sz w:val="21"/>
      <w:szCs w:val="21"/>
    </w:rPr>
  </w:style>
  <w:style w:type="character" w:customStyle="1" w:styleId="11">
    <w:name w:val="标题 1 Char"/>
    <w:basedOn w:val="9"/>
    <w:link w:val="2"/>
    <w:qFormat/>
    <w:uiPriority w:val="0"/>
    <w:rPr>
      <w:rFonts w:ascii="等线" w:hAnsi="Times New Roman" w:eastAsia="等线" w:cs="Arial"/>
      <w:b/>
      <w:bCs/>
      <w:kern w:val="44"/>
      <w:sz w:val="44"/>
      <w:szCs w:val="44"/>
    </w:rPr>
  </w:style>
  <w:style w:type="character" w:customStyle="1" w:styleId="12">
    <w:name w:val="页眉 Char"/>
    <w:basedOn w:val="9"/>
    <w:link w:val="6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9"/>
    <w:link w:val="5"/>
    <w:semiHidden/>
    <w:qFormat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14">
    <w:name w:val="正文文本缩进 Char"/>
    <w:basedOn w:val="9"/>
    <w:link w:val="3"/>
    <w:semiHidden/>
    <w:qFormat/>
    <w:uiPriority w:val="0"/>
    <w:rPr>
      <w:rFonts w:ascii="仿宋_GB2312" w:hAnsi="Times New Roman" w:eastAsia="仿宋_GB2312" w:cs="Times New Roman"/>
      <w:sz w:val="32"/>
      <w:szCs w:val="32"/>
    </w:rPr>
  </w:style>
  <w:style w:type="character" w:customStyle="1" w:styleId="15">
    <w:name w:val="批注框文本 Char"/>
    <w:basedOn w:val="9"/>
    <w:link w:val="4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paragraph" w:customStyle="1" w:styleId="17">
    <w:name w:val="正文 New New New"/>
    <w:qFormat/>
    <w:uiPriority w:val="0"/>
    <w:pPr>
      <w:wordWrap w:val="0"/>
      <w:snapToGrid w:val="0"/>
      <w:spacing w:line="580" w:lineRule="atLeast"/>
      <w:ind w:firstLine="640"/>
      <w:jc w:val="both"/>
    </w:pPr>
    <w:rPr>
      <w:rFonts w:ascii="仿宋_GB2312" w:hAnsi="Arial" w:eastAsia="仿宋_GB2312" w:cs="Arial"/>
      <w:kern w:val="0"/>
      <w:sz w:val="28"/>
      <w:szCs w:val="28"/>
      <w:lang w:val="en-US" w:eastAsia="zh-CN" w:bidi="ar-SA"/>
    </w:rPr>
  </w:style>
  <w:style w:type="character" w:customStyle="1" w:styleId="18">
    <w:name w:val="font1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111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20">
    <w:name w:val="font11"/>
    <w:basedOn w:val="9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21">
    <w:name w:val="font31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22">
    <w:name w:val="font61"/>
    <w:basedOn w:val="9"/>
    <w:qFormat/>
    <w:uiPriority w:val="0"/>
    <w:rPr>
      <w:rFonts w:hint="eastAsia" w:ascii="宋体" w:hAnsi="宋体" w:eastAsia="宋体" w:cs="宋体"/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1973</Words>
  <Characters>2153</Characters>
  <Lines>24</Lines>
  <Paragraphs>6</Paragraphs>
  <TotalTime>5</TotalTime>
  <ScaleCrop>false</ScaleCrop>
  <LinksUpToDate>false</LinksUpToDate>
  <CharactersWithSpaces>2639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2022-02-14T06:27:00Z</dcterms:created>
  <dc:creator>社会保障科-赵南</dc:creator>
  <cp:lastModifiedBy>淡泊明志</cp:lastModifiedBy>
  <dcterms:modified xsi:type="dcterms:W3CDTF">2022-08-08T06:56:21Z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5761E292C1944D1D839A8DFAA43081EA</vt:lpwstr>
  </property>
</Properties>
</file>